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pPr>
        <w:spacing w:line="560" w:lineRule="exact"/>
        <w:jc w:val="center"/>
        <w:rPr>
          <w:rFonts w:ascii="方正小标宋简体" w:eastAsia="方正小标宋简体" w:hAnsi="宋体"/>
          <w:sz w:val="32"/>
          <w:szCs w:val="32"/>
        </w:rPr>
      </w:pPr>
      <w:bookmarkStart w:id="0" w:name="_GoBack"/>
      <w:bookmarkEnd w:id="0"/>
    </w:p>
    <w:p>
      <w:pPr>
        <w:spacing w:line="560" w:lineRule="exact"/>
        <w:jc w:val="center"/>
        <w:rPr>
          <w:rFonts w:ascii="仿宋_GB2312" w:eastAsia="仿宋_GB2312" w:hAnsi="仿宋_GB2312" w:cs="仿宋_GB2312"/>
          <w:sz w:val="36"/>
          <w:szCs w:val="36"/>
        </w:rPr>
      </w:pPr>
      <w:r>
        <w:rPr>
          <w:rFonts w:ascii="方正小标宋简体" w:eastAsia="方正小标宋简体" w:hAnsi="宋体" w:hint="eastAsia"/>
          <w:sz w:val="36"/>
          <w:szCs w:val="36"/>
        </w:rPr>
        <w:t>宿迁市气象部门人才发展行动计划（</w:t>
      </w:r>
      <w:r>
        <w:rPr>
          <w:rFonts w:ascii="方正小标宋简体" w:eastAsia="方正小标宋简体" w:hAnsi="宋体"/>
          <w:sz w:val="36"/>
          <w:szCs w:val="36"/>
        </w:rPr>
        <w:t>2023-20</w:t>
      </w:r>
      <w:r>
        <w:rPr>
          <w:rFonts w:ascii="方正小标宋简体" w:eastAsia="方正小标宋简体" w:hAnsi="宋体" w:hint="eastAsia"/>
          <w:sz w:val="36"/>
          <w:szCs w:val="36"/>
        </w:rPr>
        <w:t>25</w:t>
      </w:r>
      <w:r>
        <w:rPr>
          <w:rFonts w:ascii="方正小标宋简体" w:eastAsia="方正小标宋简体" w:hAnsi="宋体"/>
          <w:sz w:val="36"/>
          <w:szCs w:val="36"/>
        </w:rPr>
        <w:t>年）</w:t>
      </w:r>
    </w:p>
    <w:p>
      <w:pPr>
        <w:spacing w:line="360" w:lineRule="exact"/>
        <w:ind w:firstLine="640" w:firstLineChars="200"/>
        <w:rPr>
          <w:rFonts w:ascii="仿宋_GB2312" w:eastAsia="仿宋_GB2312" w:hAnsi="仿宋_GB2312" w:cs="仿宋_GB2312"/>
          <w:sz w:val="32"/>
          <w:szCs w:val="32"/>
        </w:rPr>
      </w:pPr>
    </w:p>
    <w:p>
      <w:pPr>
        <w:spacing w:line="56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气象事业是科技型、基础性、先导型社会公益事业，为深入贯彻落实习近平总书记对气象工作的重要指示精神，进一步贯彻落实中国气象局、省气象局和市委有关人才工作要求，着力加强我市气象人才工作整体规划，实施人才兴局战略，营造人才发展良好环境，不断加强宿迁气象高质量发展的人才支撑，服务于“强富美高”新宿迁建设，结合我市实际，制定本</w:t>
      </w:r>
      <w:r>
        <w:rPr>
          <w:rFonts w:ascii="仿宋_GB2312" w:eastAsia="仿宋_GB2312" w:hAnsi="仿宋_GB2312" w:cs="仿宋_GB2312" w:hint="eastAsia"/>
          <w:sz w:val="32"/>
          <w:szCs w:val="32"/>
          <w:lang w:val="en-US" w:eastAsia="zh-CN"/>
        </w:rPr>
        <w:t>行动计划</w:t>
      </w:r>
      <w:r>
        <w:rPr>
          <w:rFonts w:ascii="仿宋_GB2312" w:eastAsia="仿宋_GB2312" w:hAnsi="仿宋_GB2312" w:cs="仿宋_GB2312" w:hint="eastAsia"/>
          <w:sz w:val="32"/>
          <w:szCs w:val="32"/>
        </w:rPr>
        <w:t>。</w:t>
      </w:r>
    </w:p>
    <w:p>
      <w:pPr>
        <w:spacing w:line="560" w:lineRule="exact"/>
        <w:ind w:firstLine="640" w:firstLineChars="200"/>
        <w:rPr>
          <w:rFonts w:ascii="黑体" w:eastAsia="黑体" w:hAnsi="黑体" w:cs="黑体"/>
          <w:sz w:val="32"/>
          <w:szCs w:val="32"/>
        </w:rPr>
      </w:pPr>
      <w:r>
        <w:rPr>
          <w:rFonts w:ascii="黑体" w:eastAsia="黑体" w:hAnsi="黑体" w:cs="黑体" w:hint="eastAsia"/>
          <w:sz w:val="32"/>
          <w:szCs w:val="32"/>
          <w:lang w:val="en-US" w:eastAsia="zh-CN"/>
        </w:rPr>
        <w:t>一</w:t>
      </w:r>
      <w:r>
        <w:rPr>
          <w:rFonts w:ascii="黑体" w:eastAsia="黑体" w:hAnsi="黑体" w:cs="黑体" w:hint="eastAsia"/>
          <w:sz w:val="32"/>
          <w:szCs w:val="32"/>
        </w:rPr>
        <w:t>、指导思想</w:t>
      </w:r>
    </w:p>
    <w:p>
      <w:pPr>
        <w:spacing w:line="56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深入贯彻党的二十大精神以及中央人才工作会议精神，全面贯彻习近平总书记关于人才工作、气象工作和江苏工作的重要指示精神，深入落实新时代党的组织路线和中国气象局《气象高质量发展纲要（2022—2035年）》、《省政府关于推进气象事业高质量发展的意见》、《江苏省气象人才发展规划（2023-2035年）》、《市政府关于推进气象事业高质量发展的实施意见》。深化人才发展体制机制改革，优化人才发展环境，统筹推进各类人才队伍建设，坚持为党育人、为国育才，着力打造爱党报国、敬业奉献的创新团队、青年科技人才和高技能人才队伍，立足新发展阶段，贯彻新发展理念，服务构建新发展格局，为新时代宿迁气象高质量发展、服务“强富美高”新宿迁建设提供坚实的气象人才支撑。</w:t>
      </w:r>
    </w:p>
    <w:p>
      <w:pPr>
        <w:spacing w:line="560" w:lineRule="exact"/>
        <w:ind w:firstLine="640" w:firstLineChars="200"/>
        <w:rPr>
          <w:rFonts w:ascii="黑体" w:eastAsia="黑体" w:hAnsi="黑体" w:cs="黑体"/>
          <w:sz w:val="32"/>
          <w:szCs w:val="32"/>
        </w:rPr>
      </w:pPr>
      <w:r>
        <w:rPr>
          <w:rFonts w:ascii="黑体" w:eastAsia="黑体" w:hAnsi="黑体" w:cs="黑体" w:hint="eastAsia"/>
          <w:sz w:val="32"/>
          <w:szCs w:val="32"/>
          <w:lang w:val="en-US" w:eastAsia="zh-CN"/>
        </w:rPr>
        <w:t>二</w:t>
      </w:r>
      <w:r>
        <w:rPr>
          <w:rFonts w:ascii="黑体" w:eastAsia="黑体" w:hAnsi="黑体" w:cs="黑体" w:hint="eastAsia"/>
          <w:sz w:val="32"/>
          <w:szCs w:val="32"/>
        </w:rPr>
        <w:t>、目标任务</w:t>
      </w:r>
    </w:p>
    <w:p>
      <w:pPr>
        <w:spacing w:line="560" w:lineRule="exact"/>
        <w:ind w:firstLine="640" w:firstLineChars="200"/>
        <w:rPr>
          <w:rFonts w:ascii="仿宋_GB2312" w:eastAsia="仿宋_GB2312" w:hAnsi="仿宋_GB2312" w:cs="仿宋_GB2312" w:hint="default"/>
          <w:sz w:val="32"/>
          <w:szCs w:val="32"/>
          <w:lang w:val="en-US" w:eastAsia="zh-CN"/>
        </w:rPr>
      </w:pPr>
      <w:r>
        <w:rPr>
          <w:rFonts w:ascii="仿宋_GB2312" w:eastAsia="仿宋_GB2312" w:hAnsi="仿宋_GB2312" w:cs="仿宋_GB2312" w:hint="eastAsia"/>
          <w:sz w:val="32"/>
          <w:szCs w:val="32"/>
          <w:lang w:val="en-US" w:eastAsia="zh-CN"/>
        </w:rPr>
        <w:t>至</w:t>
      </w:r>
      <w:r>
        <w:rPr>
          <w:rFonts w:ascii="仿宋_GB2312" w:eastAsia="仿宋_GB2312" w:hAnsi="仿宋_GB2312" w:cs="仿宋_GB2312" w:hint="eastAsia"/>
          <w:sz w:val="32"/>
          <w:szCs w:val="32"/>
        </w:rPr>
        <w:t>2025年我市气象高层次人才队伍建设取得明显进展，青年骨干人才队伍明显壮大，气象人才培养能力明显增强，基本形成上下贯通、集约高效的人才工作体系和适应推进宿迁气象高质量发展的人才制度体系。并通过</w:t>
      </w:r>
      <w:r>
        <w:rPr>
          <w:rFonts w:ascii="仿宋_GB2312" w:eastAsia="仿宋_GB2312" w:hAnsi="仿宋_GB2312" w:cs="仿宋_GB2312" w:hint="eastAsia"/>
          <w:sz w:val="32"/>
          <w:szCs w:val="32"/>
          <w:lang w:val="en-US" w:eastAsia="zh-CN"/>
        </w:rPr>
        <w:t>几年</w:t>
      </w:r>
      <w:r>
        <w:rPr>
          <w:rFonts w:ascii="仿宋_GB2312" w:eastAsia="仿宋_GB2312" w:hAnsi="仿宋_GB2312" w:cs="仿宋_GB2312" w:hint="eastAsia"/>
          <w:sz w:val="32"/>
          <w:szCs w:val="32"/>
        </w:rPr>
        <w:t>努力，着力解决宿迁气象高层次人才缺乏、业务能力相对不强、后备人才不足等突出问题，打造一支本土人才培育和创新人才自主培养能力有明显提升、县（区）局人才队伍取得</w:t>
      </w:r>
      <w:r>
        <w:rPr>
          <w:rFonts w:ascii="仿宋_GB2312" w:eastAsia="仿宋_GB2312" w:hAnsi="仿宋_GB2312" w:cs="仿宋_GB2312" w:hint="eastAsia"/>
          <w:sz w:val="32"/>
          <w:szCs w:val="32"/>
          <w:lang w:val="en-US" w:eastAsia="zh-CN"/>
        </w:rPr>
        <w:t>重大</w:t>
      </w:r>
      <w:r>
        <w:rPr>
          <w:rFonts w:ascii="仿宋_GB2312" w:eastAsia="仿宋_GB2312" w:hAnsi="仿宋_GB2312" w:cs="仿宋_GB2312" w:hint="eastAsia"/>
          <w:sz w:val="32"/>
          <w:szCs w:val="32"/>
        </w:rPr>
        <w:t>进展、人才集聚效应有明显增强的气象人才队伍，实现宿迁气象部门监测、预报、服务等领域在全省范围内均具备一定的影响力。</w:t>
      </w:r>
      <w:r>
        <w:rPr>
          <w:rFonts w:ascii="仿宋_GB2312" w:eastAsia="仿宋_GB2312" w:hAnsi="仿宋_GB2312" w:cs="仿宋_GB2312" w:hint="eastAsia"/>
          <w:sz w:val="32"/>
          <w:szCs w:val="32"/>
          <w:lang w:val="en-US" w:eastAsia="zh-CN"/>
        </w:rPr>
        <w:t>具体计划如下表：</w:t>
      </w:r>
    </w:p>
    <w:p>
      <w:pPr>
        <w:spacing w:line="560" w:lineRule="exact"/>
        <w:ind w:firstLine="640" w:firstLineChars="200"/>
        <w:rPr>
          <w:rFonts w:ascii="仿宋_GB2312" w:eastAsia="仿宋_GB2312" w:hAnsi="仿宋_GB2312" w:cs="仿宋_GB2312" w:hint="eastAsia"/>
          <w:sz w:val="32"/>
          <w:szCs w:val="32"/>
        </w:rPr>
      </w:pPr>
    </w:p>
    <w:tbl>
      <w:tblPr>
        <w:tblStyle w:val="TableNormal"/>
        <w:tblpPr w:leftFromText="180" w:rightFromText="180" w:vertAnchor="text" w:horzAnchor="page" w:tblpXSpec="center" w:tblpY="301"/>
        <w:tblOverlap w:val="neve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70"/>
        <w:gridCol w:w="4155"/>
        <w:gridCol w:w="1755"/>
      </w:tblGrid>
      <w:tr>
        <w:tblPrEx>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840"/>
          <w:jc w:val="center"/>
        </w:trPr>
        <w:tc>
          <w:tcPr>
            <w:tcW w:w="670" w:type="dxa"/>
            <w:tcBorders>
              <w:top w:val="single" w:sz="4" w:space="0" w:color="auto"/>
              <w:left w:val="single" w:sz="4" w:space="0" w:color="auto"/>
              <w:right w:val="single" w:sz="4" w:space="0" w:color="auto"/>
            </w:tcBorders>
            <w:vAlign w:val="center"/>
          </w:tcPr>
          <w:p>
            <w:pPr>
              <w:spacing w:line="560" w:lineRule="exact"/>
              <w:jc w:val="center"/>
              <w:rPr>
                <w:rFonts w:ascii="仿宋_GB2312" w:eastAsia="仿宋_GB2312" w:hAnsi="Times New Roman"/>
                <w:b/>
                <w:szCs w:val="21"/>
              </w:rPr>
            </w:pPr>
            <w:r>
              <w:rPr>
                <w:rFonts w:ascii="仿宋_GB2312" w:eastAsia="仿宋_GB2312" w:hAnsi="Times New Roman" w:hint="eastAsia"/>
                <w:b/>
                <w:szCs w:val="21"/>
              </w:rPr>
              <w:t>序号</w:t>
            </w:r>
          </w:p>
        </w:tc>
        <w:tc>
          <w:tcPr>
            <w:tcW w:w="4155" w:type="dxa"/>
            <w:tcBorders>
              <w:top w:val="single" w:sz="4" w:space="0" w:color="auto"/>
              <w:left w:val="single" w:sz="4" w:space="0" w:color="auto"/>
              <w:right w:val="single" w:sz="4" w:space="0" w:color="auto"/>
            </w:tcBorders>
            <w:vAlign w:val="center"/>
          </w:tcPr>
          <w:p>
            <w:pPr>
              <w:spacing w:line="560" w:lineRule="exact"/>
              <w:jc w:val="center"/>
              <w:rPr>
                <w:rFonts w:ascii="仿宋_GB2312" w:eastAsia="仿宋_GB2312" w:hAnsi="Times New Roman" w:hint="eastAsia"/>
                <w:b/>
                <w:szCs w:val="21"/>
              </w:rPr>
            </w:pPr>
            <w:r>
              <w:rPr>
                <w:rFonts w:ascii="仿宋_GB2312" w:eastAsia="仿宋_GB2312" w:hAnsi="Times New Roman" w:hint="eastAsia"/>
                <w:b/>
                <w:szCs w:val="21"/>
              </w:rPr>
              <w:t>气象人才发展具体指标</w:t>
            </w:r>
          </w:p>
        </w:tc>
        <w:tc>
          <w:tcPr>
            <w:tcW w:w="1755"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_GB2312" w:eastAsia="仿宋_GB2312" w:hAnsi="Times New Roman" w:hint="eastAsia"/>
                <w:b/>
                <w:szCs w:val="21"/>
              </w:rPr>
            </w:pPr>
            <w:r>
              <w:rPr>
                <w:rFonts w:ascii="仿宋_GB2312" w:eastAsia="仿宋_GB2312" w:hAnsi="Times New Roman" w:hint="eastAsia"/>
                <w:b/>
                <w:szCs w:val="21"/>
              </w:rPr>
              <w:t>2025年目标</w:t>
            </w:r>
          </w:p>
        </w:tc>
      </w:tr>
      <w:tr>
        <w:tblPrEx>
          <w:tblW w:w="6580" w:type="dxa"/>
          <w:jc w:val="center"/>
          <w:tblLayout w:type="fixed"/>
          <w:tblCellMar>
            <w:top w:w="0" w:type="dxa"/>
            <w:left w:w="108" w:type="dxa"/>
            <w:bottom w:w="0" w:type="dxa"/>
            <w:right w:w="108" w:type="dxa"/>
          </w:tblCellMar>
        </w:tblPrEx>
        <w:trPr>
          <w:jc w:val="center"/>
        </w:trPr>
        <w:tc>
          <w:tcPr>
            <w:tcW w:w="670" w:type="dxa"/>
            <w:tcBorders>
              <w:top w:val="single" w:sz="4" w:space="0" w:color="auto"/>
              <w:left w:val="single" w:sz="4" w:space="0" w:color="auto"/>
              <w:bottom w:val="single" w:sz="4" w:space="0" w:color="auto"/>
              <w:right w:val="single" w:sz="4" w:space="0" w:color="auto"/>
            </w:tcBorders>
          </w:tcPr>
          <w:p>
            <w:pPr>
              <w:spacing w:line="560" w:lineRule="exact"/>
              <w:jc w:val="center"/>
              <w:rPr>
                <w:rFonts w:ascii="仿宋_GB2312" w:eastAsia="仿宋_GB2312" w:hAnsi="Times New Roman"/>
                <w:sz w:val="24"/>
              </w:rPr>
            </w:pPr>
            <w:r>
              <w:rPr>
                <w:rFonts w:ascii="仿宋_GB2312" w:eastAsia="仿宋_GB2312" w:hAnsi="Times New Roman" w:hint="eastAsia"/>
                <w:sz w:val="24"/>
              </w:rPr>
              <w:t>1</w:t>
            </w:r>
          </w:p>
        </w:tc>
        <w:tc>
          <w:tcPr>
            <w:tcW w:w="4155"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_GB2312" w:eastAsia="仿宋_GB2312" w:hAnsi="Times New Roman"/>
                <w:sz w:val="24"/>
              </w:rPr>
            </w:pPr>
            <w:r>
              <w:rPr>
                <w:rFonts w:ascii="仿宋_GB2312" w:eastAsia="仿宋_GB2312" w:hAnsi="Times New Roman" w:hint="eastAsia"/>
                <w:sz w:val="24"/>
              </w:rPr>
              <w:t>本科以上学历占比</w:t>
            </w:r>
          </w:p>
        </w:tc>
        <w:tc>
          <w:tcPr>
            <w:tcW w:w="1755"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_GB2312" w:eastAsia="仿宋_GB2312" w:hAnsi="Times New Roman"/>
                <w:sz w:val="24"/>
              </w:rPr>
            </w:pPr>
            <w:r>
              <w:rPr>
                <w:rFonts w:ascii="仿宋_GB2312" w:eastAsia="仿宋_GB2312" w:hAnsi="Times New Roman" w:hint="eastAsia"/>
                <w:sz w:val="24"/>
              </w:rPr>
              <w:t>95%</w:t>
            </w:r>
          </w:p>
        </w:tc>
      </w:tr>
      <w:tr>
        <w:tblPrEx>
          <w:tblW w:w="6580" w:type="dxa"/>
          <w:jc w:val="center"/>
          <w:tblLayout w:type="fixed"/>
          <w:tblCellMar>
            <w:top w:w="0" w:type="dxa"/>
            <w:left w:w="108" w:type="dxa"/>
            <w:bottom w:w="0" w:type="dxa"/>
            <w:right w:w="108" w:type="dxa"/>
          </w:tblCellMar>
        </w:tblPrEx>
        <w:trPr>
          <w:jc w:val="center"/>
        </w:trPr>
        <w:tc>
          <w:tcPr>
            <w:tcW w:w="670" w:type="dxa"/>
            <w:tcBorders>
              <w:top w:val="single" w:sz="4" w:space="0" w:color="auto"/>
              <w:left w:val="single" w:sz="4" w:space="0" w:color="auto"/>
              <w:bottom w:val="single" w:sz="4" w:space="0" w:color="auto"/>
              <w:right w:val="single" w:sz="4" w:space="0" w:color="auto"/>
            </w:tcBorders>
          </w:tcPr>
          <w:p>
            <w:pPr>
              <w:spacing w:line="560" w:lineRule="exact"/>
              <w:jc w:val="center"/>
              <w:rPr>
                <w:rFonts w:ascii="仿宋_GB2312" w:eastAsia="仿宋_GB2312" w:hAnsi="Times New Roman"/>
                <w:sz w:val="24"/>
              </w:rPr>
            </w:pPr>
            <w:r>
              <w:rPr>
                <w:rFonts w:ascii="仿宋_GB2312" w:eastAsia="仿宋_GB2312" w:hAnsi="Times New Roman" w:hint="eastAsia"/>
                <w:sz w:val="24"/>
              </w:rPr>
              <w:t>2</w:t>
            </w:r>
          </w:p>
        </w:tc>
        <w:tc>
          <w:tcPr>
            <w:tcW w:w="4155"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_GB2312" w:eastAsia="仿宋_GB2312" w:hAnsi="Times New Roman"/>
                <w:sz w:val="24"/>
              </w:rPr>
            </w:pPr>
            <w:r>
              <w:rPr>
                <w:rFonts w:ascii="仿宋_GB2312" w:eastAsia="仿宋_GB2312" w:hAnsi="Times New Roman" w:hint="eastAsia"/>
                <w:sz w:val="24"/>
              </w:rPr>
              <w:t>硕士以上学历占比</w:t>
            </w:r>
          </w:p>
        </w:tc>
        <w:tc>
          <w:tcPr>
            <w:tcW w:w="1755"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_GB2312" w:eastAsia="仿宋_GB2312" w:hAnsi="Times New Roman"/>
                <w:sz w:val="24"/>
              </w:rPr>
            </w:pPr>
            <w:r>
              <w:rPr>
                <w:rFonts w:ascii="仿宋_GB2312" w:eastAsia="仿宋_GB2312" w:hAnsi="Times New Roman" w:hint="eastAsia"/>
                <w:sz w:val="24"/>
              </w:rPr>
              <w:t>36%</w:t>
            </w:r>
          </w:p>
        </w:tc>
      </w:tr>
      <w:tr>
        <w:tblPrEx>
          <w:tblW w:w="6580" w:type="dxa"/>
          <w:jc w:val="center"/>
          <w:tblLayout w:type="fixed"/>
          <w:tblCellMar>
            <w:top w:w="0" w:type="dxa"/>
            <w:left w:w="108" w:type="dxa"/>
            <w:bottom w:w="0" w:type="dxa"/>
            <w:right w:w="108" w:type="dxa"/>
          </w:tblCellMar>
        </w:tblPrEx>
        <w:trPr>
          <w:jc w:val="center"/>
        </w:trPr>
        <w:tc>
          <w:tcPr>
            <w:tcW w:w="670"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_GB2312" w:eastAsia="仿宋_GB2312" w:hAnsi="Times New Roman"/>
                <w:sz w:val="24"/>
              </w:rPr>
            </w:pPr>
            <w:r>
              <w:rPr>
                <w:rFonts w:ascii="仿宋_GB2312" w:eastAsia="仿宋_GB2312" w:hAnsi="Times New Roman" w:hint="eastAsia"/>
                <w:sz w:val="24"/>
              </w:rPr>
              <w:t>3</w:t>
            </w:r>
          </w:p>
        </w:tc>
        <w:tc>
          <w:tcPr>
            <w:tcW w:w="4155"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_GB2312" w:eastAsia="仿宋_GB2312" w:hAnsi="Times New Roman"/>
                <w:sz w:val="24"/>
              </w:rPr>
            </w:pPr>
            <w:r>
              <w:rPr>
                <w:rFonts w:ascii="仿宋_GB2312" w:eastAsia="仿宋_GB2312" w:hAnsi="Times New Roman" w:hint="eastAsia"/>
                <w:sz w:val="24"/>
              </w:rPr>
              <w:t>市局拥有正高工数量</w:t>
            </w:r>
          </w:p>
        </w:tc>
        <w:tc>
          <w:tcPr>
            <w:tcW w:w="1755"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_GB2312" w:eastAsia="仿宋_GB2312" w:hAnsi="Times New Roman"/>
                <w:color w:val="auto"/>
                <w:sz w:val="24"/>
              </w:rPr>
            </w:pPr>
            <w:r>
              <w:rPr>
                <w:rFonts w:ascii="仿宋_GB2312" w:eastAsia="仿宋_GB2312" w:hAnsi="Times New Roman" w:hint="eastAsia"/>
                <w:sz w:val="24"/>
              </w:rPr>
              <w:t>1</w:t>
            </w:r>
          </w:p>
        </w:tc>
      </w:tr>
      <w:tr>
        <w:tblPrEx>
          <w:tblW w:w="6580" w:type="dxa"/>
          <w:jc w:val="center"/>
          <w:tblLayout w:type="fixed"/>
          <w:tblCellMar>
            <w:top w:w="0" w:type="dxa"/>
            <w:left w:w="108" w:type="dxa"/>
            <w:bottom w:w="0" w:type="dxa"/>
            <w:right w:w="108" w:type="dxa"/>
          </w:tblCellMar>
        </w:tblPrEx>
        <w:trPr>
          <w:jc w:val="center"/>
        </w:trPr>
        <w:tc>
          <w:tcPr>
            <w:tcW w:w="670" w:type="dxa"/>
            <w:tcBorders>
              <w:top w:val="single" w:sz="4" w:space="0" w:color="auto"/>
              <w:left w:val="single" w:sz="4" w:space="0" w:color="auto"/>
              <w:bottom w:val="single" w:sz="4" w:space="0" w:color="auto"/>
              <w:right w:val="single" w:sz="4" w:space="0" w:color="auto"/>
            </w:tcBorders>
          </w:tcPr>
          <w:p>
            <w:pPr>
              <w:spacing w:line="560" w:lineRule="exact"/>
              <w:jc w:val="center"/>
              <w:rPr>
                <w:rFonts w:ascii="仿宋_GB2312" w:eastAsia="仿宋_GB2312" w:hAnsi="Times New Roman"/>
                <w:sz w:val="24"/>
              </w:rPr>
            </w:pPr>
            <w:r>
              <w:rPr>
                <w:rFonts w:ascii="仿宋_GB2312" w:eastAsia="仿宋_GB2312" w:hAnsi="Times New Roman" w:hint="eastAsia"/>
                <w:sz w:val="24"/>
              </w:rPr>
              <w:t>4</w:t>
            </w:r>
          </w:p>
        </w:tc>
        <w:tc>
          <w:tcPr>
            <w:tcW w:w="4155"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_GB2312" w:eastAsia="仿宋_GB2312" w:hAnsi="Times New Roman"/>
                <w:sz w:val="24"/>
              </w:rPr>
            </w:pPr>
            <w:r>
              <w:rPr>
                <w:rFonts w:ascii="仿宋_GB2312" w:eastAsia="仿宋_GB2312" w:hAnsi="Times New Roman" w:hint="eastAsia"/>
                <w:sz w:val="24"/>
              </w:rPr>
              <w:t>拥有高工县（区）局数量</w:t>
            </w:r>
          </w:p>
        </w:tc>
        <w:tc>
          <w:tcPr>
            <w:tcW w:w="1755" w:type="dxa"/>
            <w:tcBorders>
              <w:top w:val="single" w:sz="4" w:space="0" w:color="auto"/>
              <w:left w:val="single" w:sz="4" w:space="0" w:color="auto"/>
              <w:bottom w:val="single" w:sz="4" w:space="0" w:color="auto"/>
              <w:right w:val="single" w:sz="4" w:space="0" w:color="auto"/>
            </w:tcBorders>
          </w:tcPr>
          <w:p>
            <w:pPr>
              <w:spacing w:line="560" w:lineRule="exact"/>
              <w:jc w:val="center"/>
              <w:rPr>
                <w:rFonts w:ascii="仿宋_GB2312" w:eastAsia="仿宋_GB2312" w:hAnsi="Times New Roman"/>
                <w:color w:val="auto"/>
                <w:sz w:val="24"/>
              </w:rPr>
            </w:pPr>
            <w:r>
              <w:rPr>
                <w:rFonts w:ascii="仿宋_GB2312" w:eastAsia="仿宋_GB2312" w:hAnsi="Times New Roman" w:hint="eastAsia"/>
                <w:sz w:val="24"/>
              </w:rPr>
              <w:t>3</w:t>
            </w:r>
          </w:p>
        </w:tc>
      </w:tr>
      <w:tr>
        <w:tblPrEx>
          <w:tblW w:w="6580" w:type="dxa"/>
          <w:jc w:val="center"/>
          <w:tblLayout w:type="fixed"/>
          <w:tblCellMar>
            <w:top w:w="0" w:type="dxa"/>
            <w:left w:w="108" w:type="dxa"/>
            <w:bottom w:w="0" w:type="dxa"/>
            <w:right w:w="108" w:type="dxa"/>
          </w:tblCellMar>
        </w:tblPrEx>
        <w:trPr>
          <w:jc w:val="center"/>
        </w:trPr>
        <w:tc>
          <w:tcPr>
            <w:tcW w:w="670" w:type="dxa"/>
            <w:tcBorders>
              <w:top w:val="single" w:sz="4" w:space="0" w:color="auto"/>
              <w:left w:val="single" w:sz="4" w:space="0" w:color="auto"/>
              <w:bottom w:val="single" w:sz="4" w:space="0" w:color="auto"/>
              <w:right w:val="single" w:sz="4" w:space="0" w:color="auto"/>
            </w:tcBorders>
          </w:tcPr>
          <w:p>
            <w:pPr>
              <w:spacing w:line="560" w:lineRule="exact"/>
              <w:jc w:val="center"/>
              <w:rPr>
                <w:rFonts w:ascii="仿宋_GB2312" w:eastAsia="仿宋_GB2312" w:hAnsi="Times New Roman"/>
                <w:sz w:val="24"/>
              </w:rPr>
            </w:pPr>
            <w:r>
              <w:rPr>
                <w:rFonts w:ascii="仿宋_GB2312" w:eastAsia="仿宋_GB2312" w:hAnsi="Times New Roman" w:hint="eastAsia"/>
                <w:sz w:val="24"/>
              </w:rPr>
              <w:t>5</w:t>
            </w:r>
          </w:p>
        </w:tc>
        <w:tc>
          <w:tcPr>
            <w:tcW w:w="4155"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_GB2312" w:eastAsia="仿宋_GB2312" w:hAnsi="Times New Roman"/>
                <w:sz w:val="24"/>
              </w:rPr>
            </w:pPr>
            <w:r>
              <w:rPr>
                <w:rFonts w:ascii="仿宋_GB2312" w:eastAsia="仿宋_GB2312" w:hAnsi="Times New Roman" w:hint="eastAsia"/>
                <w:sz w:val="24"/>
              </w:rPr>
              <w:t>新入选地方人才工程（奖励）数</w:t>
            </w:r>
          </w:p>
        </w:tc>
        <w:tc>
          <w:tcPr>
            <w:tcW w:w="1755"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_GB2312" w:eastAsia="仿宋_GB2312" w:hAnsi="Times New Roman"/>
                <w:color w:val="auto"/>
                <w:sz w:val="24"/>
              </w:rPr>
            </w:pPr>
            <w:r>
              <w:rPr>
                <w:rFonts w:ascii="仿宋_GB2312" w:eastAsia="仿宋_GB2312" w:hAnsi="Times New Roman" w:hint="eastAsia"/>
                <w:sz w:val="24"/>
              </w:rPr>
              <w:t>3</w:t>
            </w:r>
          </w:p>
        </w:tc>
      </w:tr>
      <w:tr>
        <w:tblPrEx>
          <w:tblW w:w="6580" w:type="dxa"/>
          <w:jc w:val="center"/>
          <w:tblLayout w:type="fixed"/>
          <w:tblCellMar>
            <w:top w:w="0" w:type="dxa"/>
            <w:left w:w="108" w:type="dxa"/>
            <w:bottom w:w="0" w:type="dxa"/>
            <w:right w:w="108" w:type="dxa"/>
          </w:tblCellMar>
        </w:tblPrEx>
        <w:trPr>
          <w:jc w:val="center"/>
        </w:trPr>
        <w:tc>
          <w:tcPr>
            <w:tcW w:w="670" w:type="dxa"/>
            <w:tcBorders>
              <w:top w:val="single" w:sz="4" w:space="0" w:color="auto"/>
              <w:left w:val="single" w:sz="4" w:space="0" w:color="auto"/>
              <w:bottom w:val="single" w:sz="4" w:space="0" w:color="auto"/>
              <w:right w:val="single" w:sz="4" w:space="0" w:color="auto"/>
            </w:tcBorders>
          </w:tcPr>
          <w:p>
            <w:pPr>
              <w:spacing w:line="560" w:lineRule="exact"/>
              <w:jc w:val="center"/>
              <w:rPr>
                <w:rFonts w:ascii="仿宋_GB2312" w:eastAsia="仿宋_GB2312" w:hAnsi="Times New Roman"/>
                <w:sz w:val="24"/>
              </w:rPr>
            </w:pPr>
            <w:r>
              <w:rPr>
                <w:rFonts w:ascii="仿宋_GB2312" w:eastAsia="仿宋_GB2312" w:hAnsi="Times New Roman" w:hint="eastAsia"/>
                <w:sz w:val="24"/>
              </w:rPr>
              <w:t>6</w:t>
            </w:r>
          </w:p>
        </w:tc>
        <w:tc>
          <w:tcPr>
            <w:tcW w:w="4155"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仿宋_GB2312" w:eastAsia="仿宋_GB2312" w:hAnsi="Times New Roman"/>
                <w:sz w:val="24"/>
              </w:rPr>
            </w:pPr>
            <w:r>
              <w:rPr>
                <w:rFonts w:ascii="仿宋_GB2312" w:eastAsia="仿宋_GB2312" w:hAnsi="Times New Roman" w:hint="eastAsia"/>
                <w:sz w:val="24"/>
              </w:rPr>
              <w:t>入选首席气象专家数量</w:t>
            </w:r>
          </w:p>
        </w:tc>
        <w:tc>
          <w:tcPr>
            <w:tcW w:w="1755" w:type="dxa"/>
            <w:tcBorders>
              <w:top w:val="single" w:sz="4" w:space="0" w:color="auto"/>
              <w:left w:val="single" w:sz="4" w:space="0" w:color="auto"/>
              <w:bottom w:val="single" w:sz="4" w:space="0" w:color="auto"/>
              <w:right w:val="single" w:sz="4" w:space="0" w:color="auto"/>
            </w:tcBorders>
          </w:tcPr>
          <w:p>
            <w:pPr>
              <w:spacing w:line="560" w:lineRule="exact"/>
              <w:jc w:val="center"/>
              <w:rPr>
                <w:rFonts w:ascii="仿宋_GB2312" w:eastAsia="仿宋_GB2312" w:hAnsi="Times New Roman"/>
                <w:color w:val="auto"/>
                <w:sz w:val="24"/>
              </w:rPr>
            </w:pPr>
            <w:r>
              <w:rPr>
                <w:rFonts w:ascii="仿宋_GB2312" w:eastAsia="仿宋_GB2312" w:hAnsi="Times New Roman"/>
                <w:color w:val="auto"/>
                <w:sz w:val="24"/>
              </w:rPr>
              <w:t>1</w:t>
            </w:r>
          </w:p>
        </w:tc>
      </w:tr>
      <w:tr>
        <w:tblPrEx>
          <w:tblW w:w="6580" w:type="dxa"/>
          <w:jc w:val="center"/>
          <w:tblLayout w:type="fixed"/>
          <w:tblCellMar>
            <w:top w:w="0" w:type="dxa"/>
            <w:left w:w="108" w:type="dxa"/>
            <w:bottom w:w="0" w:type="dxa"/>
            <w:right w:w="108" w:type="dxa"/>
          </w:tblCellMar>
        </w:tblPrEx>
        <w:trPr>
          <w:jc w:val="center"/>
        </w:trPr>
        <w:tc>
          <w:tcPr>
            <w:tcW w:w="670" w:type="dxa"/>
            <w:tcBorders>
              <w:top w:val="single" w:sz="4" w:space="0" w:color="auto"/>
              <w:left w:val="single" w:sz="4" w:space="0" w:color="auto"/>
              <w:bottom w:val="single" w:sz="4" w:space="0" w:color="auto"/>
              <w:right w:val="single" w:sz="4" w:space="0" w:color="auto"/>
            </w:tcBorders>
          </w:tcPr>
          <w:p>
            <w:pPr>
              <w:spacing w:line="560" w:lineRule="exact"/>
              <w:jc w:val="center"/>
              <w:rPr>
                <w:rFonts w:ascii="仿宋_GB2312" w:eastAsia="仿宋_GB2312" w:hAnsi="Times New Roman"/>
                <w:sz w:val="24"/>
              </w:rPr>
            </w:pPr>
            <w:r>
              <w:rPr>
                <w:rFonts w:ascii="仿宋_GB2312" w:eastAsia="仿宋_GB2312" w:hAnsi="Times New Roman" w:hint="eastAsia"/>
                <w:sz w:val="24"/>
              </w:rPr>
              <w:t>7</w:t>
            </w:r>
          </w:p>
        </w:tc>
        <w:tc>
          <w:tcPr>
            <w:tcW w:w="4155"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仿宋_GB2312" w:eastAsia="仿宋_GB2312" w:hAnsi="Times New Roman"/>
                <w:sz w:val="24"/>
              </w:rPr>
            </w:pPr>
            <w:r>
              <w:rPr>
                <w:rFonts w:ascii="仿宋_GB2312" w:eastAsia="仿宋_GB2312" w:hAnsi="Times New Roman" w:hint="eastAsia"/>
                <w:sz w:val="24"/>
              </w:rPr>
              <w:t>入选省局气象青年英才和基层骨干气象人才数量</w:t>
            </w:r>
          </w:p>
        </w:tc>
        <w:tc>
          <w:tcPr>
            <w:tcW w:w="1755" w:type="dxa"/>
            <w:tcBorders>
              <w:top w:val="single" w:sz="4" w:space="0" w:color="auto"/>
              <w:left w:val="single" w:sz="4" w:space="0" w:color="auto"/>
              <w:bottom w:val="single" w:sz="4" w:space="0" w:color="auto"/>
              <w:right w:val="single" w:sz="4" w:space="0" w:color="auto"/>
            </w:tcBorders>
          </w:tcPr>
          <w:p>
            <w:pPr>
              <w:spacing w:line="560" w:lineRule="exact"/>
              <w:jc w:val="center"/>
              <w:rPr>
                <w:rFonts w:ascii="仿宋_GB2312" w:eastAsia="仿宋_GB2312" w:hAnsi="Times New Roman"/>
                <w:color w:val="auto"/>
                <w:sz w:val="24"/>
              </w:rPr>
            </w:pPr>
            <w:r>
              <w:rPr>
                <w:rFonts w:ascii="仿宋_GB2312" w:eastAsia="仿宋_GB2312" w:hAnsi="Times New Roman"/>
                <w:color w:val="auto"/>
                <w:sz w:val="24"/>
              </w:rPr>
              <w:t>4</w:t>
            </w:r>
          </w:p>
        </w:tc>
      </w:tr>
      <w:tr>
        <w:tblPrEx>
          <w:tblW w:w="6580" w:type="dxa"/>
          <w:jc w:val="center"/>
          <w:tblLayout w:type="fixed"/>
          <w:tblCellMar>
            <w:top w:w="0" w:type="dxa"/>
            <w:left w:w="108" w:type="dxa"/>
            <w:bottom w:w="0" w:type="dxa"/>
            <w:right w:w="108" w:type="dxa"/>
          </w:tblCellMar>
        </w:tblPrEx>
        <w:trPr>
          <w:trHeight w:val="346"/>
          <w:jc w:val="center"/>
        </w:trPr>
        <w:tc>
          <w:tcPr>
            <w:tcW w:w="670" w:type="dxa"/>
            <w:tcBorders>
              <w:top w:val="single" w:sz="4" w:space="0" w:color="auto"/>
              <w:left w:val="single" w:sz="4" w:space="0" w:color="auto"/>
              <w:bottom w:val="single" w:sz="4" w:space="0" w:color="auto"/>
              <w:right w:val="single" w:sz="4" w:space="0" w:color="auto"/>
            </w:tcBorders>
          </w:tcPr>
          <w:p>
            <w:pPr>
              <w:spacing w:line="560" w:lineRule="exact"/>
              <w:jc w:val="center"/>
              <w:rPr>
                <w:rFonts w:ascii="仿宋_GB2312" w:eastAsia="仿宋_GB2312" w:hAnsi="Times New Roman"/>
                <w:sz w:val="24"/>
              </w:rPr>
            </w:pPr>
            <w:r>
              <w:rPr>
                <w:rFonts w:ascii="仿宋_GB2312" w:eastAsia="仿宋_GB2312" w:hAnsi="Times New Roman" w:hint="eastAsia"/>
                <w:sz w:val="24"/>
              </w:rPr>
              <w:t>8</w:t>
            </w:r>
          </w:p>
        </w:tc>
        <w:tc>
          <w:tcPr>
            <w:tcW w:w="4155"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仿宋_GB2312" w:eastAsia="仿宋_GB2312" w:hAnsi="Times New Roman"/>
                <w:sz w:val="24"/>
              </w:rPr>
            </w:pPr>
            <w:r>
              <w:rPr>
                <w:rFonts w:ascii="仿宋_GB2312" w:eastAsia="仿宋_GB2312" w:hAnsi="Times New Roman" w:hint="eastAsia"/>
                <w:sz w:val="24"/>
              </w:rPr>
              <w:t>加入省局建设期内创新团队人数</w:t>
            </w:r>
          </w:p>
        </w:tc>
        <w:tc>
          <w:tcPr>
            <w:tcW w:w="1755" w:type="dxa"/>
            <w:tcBorders>
              <w:top w:val="single" w:sz="4" w:space="0" w:color="auto"/>
              <w:left w:val="single" w:sz="4" w:space="0" w:color="auto"/>
              <w:bottom w:val="single" w:sz="4" w:space="0" w:color="auto"/>
              <w:right w:val="single" w:sz="4" w:space="0" w:color="auto"/>
            </w:tcBorders>
          </w:tcPr>
          <w:p>
            <w:pPr>
              <w:spacing w:line="560" w:lineRule="exact"/>
              <w:jc w:val="center"/>
              <w:rPr>
                <w:rFonts w:ascii="仿宋_GB2312" w:eastAsia="仿宋_GB2312" w:hAnsi="Times New Roman"/>
                <w:color w:val="auto"/>
                <w:sz w:val="24"/>
              </w:rPr>
            </w:pPr>
            <w:r>
              <w:rPr>
                <w:rFonts w:ascii="仿宋_GB2312" w:eastAsia="仿宋_GB2312" w:hAnsi="Times New Roman" w:hint="eastAsia"/>
                <w:sz w:val="24"/>
              </w:rPr>
              <w:t>2</w:t>
            </w:r>
          </w:p>
        </w:tc>
      </w:tr>
    </w:tbl>
    <w:p>
      <w:pPr>
        <w:jc w:val="left"/>
        <w:rPr>
          <w:rFonts w:ascii="仿宋_GB2312"/>
          <w:sz w:val="24"/>
        </w:rPr>
      </w:pPr>
    </w:p>
    <w:p>
      <w:pPr>
        <w:jc w:val="left"/>
        <w:rPr>
          <w:rFonts w:ascii="仿宋_GB2312"/>
          <w:sz w:val="24"/>
        </w:rPr>
      </w:pPr>
    </w:p>
    <w:p>
      <w:pPr>
        <w:jc w:val="left"/>
        <w:rPr>
          <w:rFonts w:ascii="仿宋_GB2312"/>
          <w:sz w:val="24"/>
        </w:rPr>
      </w:pPr>
    </w:p>
    <w:p>
      <w:pPr>
        <w:jc w:val="left"/>
        <w:rPr>
          <w:rFonts w:ascii="仿宋_GB2312"/>
          <w:sz w:val="24"/>
        </w:rPr>
      </w:pPr>
    </w:p>
    <w:p>
      <w:pPr>
        <w:jc w:val="left"/>
        <w:rPr>
          <w:rFonts w:ascii="仿宋_GB2312"/>
          <w:sz w:val="24"/>
        </w:rPr>
      </w:pPr>
    </w:p>
    <w:p>
      <w:pPr>
        <w:jc w:val="left"/>
        <w:rPr>
          <w:rFonts w:ascii="仿宋_GB2312"/>
          <w:sz w:val="24"/>
        </w:rPr>
      </w:pPr>
    </w:p>
    <w:p>
      <w:pPr>
        <w:jc w:val="left"/>
        <w:rPr>
          <w:rFonts w:ascii="仿宋_GB2312"/>
          <w:sz w:val="24"/>
        </w:rPr>
      </w:pPr>
    </w:p>
    <w:p>
      <w:pPr>
        <w:jc w:val="left"/>
        <w:rPr>
          <w:rFonts w:ascii="仿宋_GB2312"/>
          <w:sz w:val="24"/>
        </w:rPr>
      </w:pPr>
    </w:p>
    <w:p>
      <w:pPr>
        <w:jc w:val="left"/>
        <w:rPr>
          <w:rFonts w:ascii="仿宋_GB2312"/>
          <w:sz w:val="24"/>
        </w:rPr>
      </w:pPr>
    </w:p>
    <w:p>
      <w:pPr>
        <w:jc w:val="left"/>
        <w:rPr>
          <w:rFonts w:ascii="仿宋_GB2312"/>
          <w:sz w:val="24"/>
        </w:rPr>
      </w:pPr>
    </w:p>
    <w:p>
      <w:pPr>
        <w:jc w:val="left"/>
        <w:rPr>
          <w:rFonts w:ascii="仿宋_GB2312"/>
          <w:sz w:val="24"/>
        </w:rPr>
      </w:pPr>
    </w:p>
    <w:p>
      <w:pPr>
        <w:jc w:val="left"/>
        <w:rPr>
          <w:rFonts w:ascii="仿宋_GB2312"/>
          <w:sz w:val="24"/>
        </w:rPr>
      </w:pPr>
    </w:p>
    <w:p>
      <w:pPr>
        <w:jc w:val="left"/>
        <w:rPr>
          <w:rFonts w:ascii="仿宋_GB2312"/>
          <w:sz w:val="24"/>
        </w:rPr>
      </w:pPr>
    </w:p>
    <w:p>
      <w:pPr>
        <w:jc w:val="left"/>
        <w:rPr>
          <w:rFonts w:ascii="仿宋_GB2312"/>
          <w:sz w:val="24"/>
        </w:rPr>
      </w:pPr>
    </w:p>
    <w:p>
      <w:pPr>
        <w:jc w:val="left"/>
        <w:rPr>
          <w:rFonts w:ascii="仿宋_GB2312"/>
          <w:sz w:val="24"/>
        </w:rPr>
      </w:pPr>
    </w:p>
    <w:p>
      <w:pPr>
        <w:jc w:val="left"/>
        <w:rPr>
          <w:rFonts w:ascii="仿宋_GB2312"/>
          <w:sz w:val="24"/>
        </w:rPr>
      </w:pPr>
    </w:p>
    <w:p>
      <w:pPr>
        <w:jc w:val="left"/>
        <w:rPr>
          <w:rFonts w:ascii="仿宋_GB2312"/>
          <w:sz w:val="24"/>
        </w:rPr>
      </w:pPr>
    </w:p>
    <w:p>
      <w:pPr>
        <w:jc w:val="left"/>
        <w:rPr>
          <w:rFonts w:ascii="仿宋_GB2312"/>
          <w:sz w:val="24"/>
        </w:rPr>
      </w:pPr>
    </w:p>
    <w:p>
      <w:pPr>
        <w:jc w:val="left"/>
        <w:rPr>
          <w:rFonts w:ascii="仿宋_GB2312"/>
          <w:sz w:val="24"/>
        </w:rPr>
      </w:pPr>
    </w:p>
    <w:p>
      <w:pPr>
        <w:spacing w:line="560" w:lineRule="exact"/>
        <w:ind w:firstLine="640" w:firstLineChars="200"/>
        <w:rPr>
          <w:rFonts w:ascii="黑体" w:eastAsia="黑体" w:hAnsi="黑体" w:cs="黑体"/>
          <w:color w:val="auto"/>
          <w:sz w:val="32"/>
          <w:szCs w:val="32"/>
        </w:rPr>
      </w:pPr>
      <w:r>
        <w:rPr>
          <w:rFonts w:ascii="黑体" w:eastAsia="黑体" w:hAnsi="黑体" w:cs="黑体" w:hint="eastAsia"/>
          <w:color w:val="auto"/>
          <w:sz w:val="32"/>
          <w:szCs w:val="32"/>
          <w:lang w:val="en-US" w:eastAsia="zh-CN"/>
        </w:rPr>
        <w:t>三</w:t>
      </w:r>
      <w:r>
        <w:rPr>
          <w:rFonts w:ascii="黑体" w:eastAsia="黑体" w:hAnsi="黑体" w:cs="黑体" w:hint="eastAsia"/>
          <w:color w:val="auto"/>
          <w:sz w:val="32"/>
          <w:szCs w:val="32"/>
        </w:rPr>
        <w:t>、</w:t>
      </w:r>
      <w:r>
        <w:rPr>
          <w:rFonts w:ascii="黑体" w:eastAsia="黑体" w:hAnsi="黑体" w:cs="黑体" w:hint="eastAsia"/>
          <w:sz w:val="32"/>
          <w:szCs w:val="32"/>
        </w:rPr>
        <w:t>人才队伍</w:t>
      </w:r>
      <w:r>
        <w:rPr>
          <w:rFonts w:ascii="黑体" w:eastAsia="黑体" w:hAnsi="黑体" w:cs="黑体" w:hint="eastAsia"/>
          <w:color w:val="auto"/>
          <w:sz w:val="32"/>
          <w:szCs w:val="32"/>
        </w:rPr>
        <w:t>建设举措</w:t>
      </w:r>
    </w:p>
    <w:p>
      <w:pPr>
        <w:spacing w:line="560" w:lineRule="exact"/>
        <w:ind w:firstLine="640" w:firstLineChars="200"/>
        <w:rPr>
          <w:rFonts w:ascii="楷体" w:eastAsia="楷体" w:hAnsi="楷体" w:cs="楷体" w:hint="eastAsia"/>
          <w:sz w:val="32"/>
          <w:szCs w:val="32"/>
        </w:rPr>
      </w:pPr>
      <w:r>
        <w:rPr>
          <w:rFonts w:ascii="楷体" w:eastAsia="楷体" w:hAnsi="楷体" w:cs="楷体" w:hint="eastAsia"/>
          <w:sz w:val="32"/>
          <w:szCs w:val="32"/>
          <w:lang w:val="en-US" w:eastAsia="zh-CN"/>
        </w:rPr>
        <w:t>1.</w:t>
      </w:r>
      <w:r>
        <w:rPr>
          <w:rFonts w:ascii="楷体" w:eastAsia="楷体" w:hAnsi="楷体" w:cs="楷体" w:hint="eastAsia"/>
          <w:sz w:val="32"/>
          <w:szCs w:val="32"/>
        </w:rPr>
        <w:t>气象预报队伍</w:t>
      </w:r>
    </w:p>
    <w:p>
      <w:pPr>
        <w:spacing w:line="560" w:lineRule="exact"/>
        <w:ind w:firstLine="640" w:firstLineChars="200"/>
        <w:rPr>
          <w:rFonts w:ascii="仿宋" w:eastAsia="仿宋" w:hAnsi="仿宋" w:cs="黑体" w:hint="eastAsia"/>
          <w:sz w:val="32"/>
          <w:szCs w:val="32"/>
        </w:rPr>
      </w:pPr>
      <w:r>
        <w:rPr>
          <w:rFonts w:ascii="仿宋" w:eastAsia="仿宋" w:hAnsi="仿宋" w:cs="黑体" w:hint="eastAsia"/>
          <w:sz w:val="32"/>
          <w:szCs w:val="32"/>
        </w:rPr>
        <w:t>围绕灾害性天气监测和预报、智能网格预报业务技术研发与应用等重点领域，构建一支满足精准预报能力发展需求、结构合理、技能卓越的气象预报队伍。加强预报员队伍交流学习，通过上派下挂，组织预报员到省局和苏州市局等地学习先进预报经验，市县级预报员双向交流积累经验。以灾害性天气和重大过程预报预警能力提升为首要任务，重点围绕气象影响预报、风险预警、专业预报和面向决策者及公众的天气气候解读分析等方面，定期邀请相关专家、学者，为市县预报员开展专题培训，组织互动交流，提升全市预报员天气雷达、卫星遥感和数值预报等“支柱”的应用能力。培养和引导新时代预报员实现工作范畴从单一预报预警向兼顾研究开发和用户服务转变，工作方法从主要依赖数值预报和主观经验向驾驭数值预报和应用人工智能技术转变，工作内容从传统地面要素预报向三维立体全要素预报以及影响预报和风险预警转变。</w:t>
      </w:r>
    </w:p>
    <w:p>
      <w:pPr>
        <w:spacing w:line="560" w:lineRule="exact"/>
        <w:ind w:firstLine="640" w:firstLineChars="200"/>
        <w:rPr>
          <w:rFonts w:ascii="楷体" w:eastAsia="楷体" w:hAnsi="楷体" w:cs="楷体" w:hint="eastAsia"/>
          <w:sz w:val="32"/>
          <w:szCs w:val="32"/>
          <w:lang w:val="en-US" w:eastAsia="zh-CN"/>
        </w:rPr>
      </w:pPr>
      <w:r>
        <w:rPr>
          <w:rFonts w:ascii="楷体" w:eastAsia="楷体" w:hAnsi="楷体" w:cs="楷体" w:hint="eastAsia"/>
          <w:sz w:val="32"/>
          <w:szCs w:val="32"/>
          <w:lang w:val="en-US" w:eastAsia="zh-CN"/>
        </w:rPr>
        <w:t>2.气象服务队伍</w:t>
      </w:r>
    </w:p>
    <w:p>
      <w:pPr>
        <w:spacing w:line="560" w:lineRule="exact"/>
        <w:ind w:firstLine="640" w:firstLineChars="200"/>
        <w:rPr>
          <w:rFonts w:ascii="仿宋" w:eastAsia="仿宋" w:hAnsi="仿宋" w:cs="黑体" w:hint="eastAsia"/>
          <w:sz w:val="32"/>
          <w:szCs w:val="32"/>
        </w:rPr>
      </w:pPr>
      <w:r>
        <w:rPr>
          <w:rFonts w:ascii="仿宋" w:eastAsia="仿宋" w:hAnsi="仿宋" w:cs="黑体" w:hint="eastAsia"/>
          <w:sz w:val="32"/>
          <w:szCs w:val="32"/>
        </w:rPr>
        <w:t>围绕推进江苏气象事业高质量发展，服务保障生命安全、生产发展、生活富裕、生态良好，构建一支集约高效、特色鲜明的气象服务队伍。在服务经济高质量发展领域，聚焦乡村振兴、交通运输、物流安全、能源保供及重大工程项目建设等气象保障服务重点方向，定期组织专业气象服务人员开展服务需求调研，适时深入企业全流程跟踪服务，根据用户需求不断开发和优化专业气象服务产品，强化专业气象服务人才培养。在服务人民美好生活领域，择优筛选重点人员，排定培养计划，有序推进专业服务人员智能化气象服务和融媒体应用技术提升，着力培养景区、景观、旅游、健康等方面的高水平复合人才队伍建设。同时，在服务美丽宿迁建设方面，开展洪泽湖、骆马湖生态气象卫星遥感监测评估，加强生态遥感气象服务人才队伍建设。积极培育“中国天然氧吧”“中国避暑旅游目的地”“中国气候宜居城市”等生态气象品牌申报创建方面人才。强化保障碳中和碳达标、应对气候变化基础性气象支撑、生态气象监测服务、宿迁全域生态气象服务、大气污染“双控双减”气象保障、生态型人影业务、气候资源开发利用等方面人才队伍建设。</w:t>
      </w:r>
    </w:p>
    <w:p>
      <w:pPr>
        <w:spacing w:line="560" w:lineRule="exact"/>
        <w:ind w:firstLine="640" w:firstLineChars="200"/>
        <w:rPr>
          <w:rFonts w:ascii="楷体" w:eastAsia="楷体" w:hAnsi="楷体" w:cs="楷体" w:hint="eastAsia"/>
          <w:sz w:val="32"/>
          <w:szCs w:val="32"/>
          <w:lang w:val="en-US" w:eastAsia="zh-CN"/>
        </w:rPr>
      </w:pPr>
      <w:r>
        <w:rPr>
          <w:rFonts w:ascii="楷体" w:eastAsia="楷体" w:hAnsi="楷体" w:cs="楷体" w:hint="eastAsia"/>
          <w:sz w:val="32"/>
          <w:szCs w:val="32"/>
          <w:lang w:val="en-US" w:eastAsia="zh-CN"/>
        </w:rPr>
        <w:t>3.综合观测与气象装备保障队伍</w:t>
      </w:r>
    </w:p>
    <w:p>
      <w:pPr>
        <w:spacing w:line="560" w:lineRule="exact"/>
        <w:ind w:firstLine="640" w:firstLineChars="200"/>
        <w:rPr>
          <w:rFonts w:ascii="仿宋" w:eastAsia="仿宋" w:hAnsi="仿宋" w:cs="黑体" w:hint="eastAsia"/>
          <w:sz w:val="32"/>
          <w:szCs w:val="32"/>
        </w:rPr>
      </w:pPr>
      <w:r>
        <w:rPr>
          <w:rFonts w:ascii="仿宋" w:eastAsia="仿宋" w:hAnsi="仿宋" w:cs="黑体" w:hint="eastAsia"/>
          <w:sz w:val="32"/>
          <w:szCs w:val="32"/>
        </w:rPr>
        <w:t>围绕构建多圈层、一体化的气象综合观测体系，聚焦观测装备、观测方法、站网布局、城市精密监测、计量保障、数据质控、产品研发及应用等重点领域，构建专业素质高、业务技术精、结构合理的综合观测与气象装备保障队伍。在高精度智能化气象监测、雷达卫星、气象数据综合应用领域，加强数据质控、产品研发与应用、多源数据融合等方面人才培养和引进，培养相关方向的高层次专家和服务人才。在气象装备高质量运行保障领域，建立运行监控、维护维修、计量检定、储备供应业务间分工协作的联动机制，形成装备保障业务合力。完善装备保障业务岗位设置、人员聘用等制度和激励机制，稳定气象装备保障队伍。完善装备保障业务人才培养选拔机制，加快培养业务技术骨干和业务技术带头人。完善装备保障业务培训机制，不断提高业务人员的业务水平和专业技能。加强市县两级现场核查（校准）队伍建设。在网络安全领域，着力引进和培养网络空间安全整体规划、网络安全监测检测防御等方面的专业人才，选送参加各级网络安全培训，适时组织参加网络安全攻防演练，丰富信息网络安全知识，提升信息保障技术，培养熟悉气象业务与系统、具备数据处理全过程风险评估及安全技术的应用型人才。</w:t>
      </w:r>
    </w:p>
    <w:p>
      <w:pPr>
        <w:spacing w:line="560" w:lineRule="exact"/>
        <w:ind w:firstLine="640" w:firstLineChars="200"/>
        <w:rPr>
          <w:rFonts w:ascii="楷体" w:eastAsia="楷体" w:hAnsi="楷体" w:cs="楷体" w:hint="eastAsia"/>
          <w:sz w:val="32"/>
          <w:szCs w:val="32"/>
          <w:lang w:val="en-US" w:eastAsia="zh-CN"/>
        </w:rPr>
      </w:pPr>
      <w:r>
        <w:rPr>
          <w:rFonts w:ascii="楷体" w:eastAsia="楷体" w:hAnsi="楷体" w:cs="楷体" w:hint="eastAsia"/>
          <w:sz w:val="32"/>
          <w:szCs w:val="32"/>
          <w:lang w:val="en-US" w:eastAsia="zh-CN"/>
        </w:rPr>
        <w:t>4.业务支撑队伍</w:t>
      </w:r>
    </w:p>
    <w:p>
      <w:pPr>
        <w:spacing w:line="560" w:lineRule="exact"/>
        <w:ind w:firstLine="640" w:firstLineChars="200"/>
        <w:rPr>
          <w:rFonts w:ascii="仿宋" w:eastAsia="仿宋" w:hAnsi="仿宋" w:cs="黑体" w:hint="eastAsia"/>
          <w:sz w:val="32"/>
          <w:szCs w:val="32"/>
        </w:rPr>
      </w:pPr>
      <w:r>
        <w:rPr>
          <w:rFonts w:ascii="仿宋" w:eastAsia="仿宋" w:hAnsi="仿宋" w:cs="黑体" w:hint="eastAsia"/>
          <w:sz w:val="32"/>
          <w:szCs w:val="32"/>
        </w:rPr>
        <w:t>围绕气象核心业务中监测、预警、预报、服务和信息化应用等领域，通过持续强化全市气象科技团队建设，积极推荐、融入省级和国家级创新团队等方式，培养建设</w:t>
      </w:r>
      <w:r>
        <w:rPr>
          <w:rFonts w:ascii="仿宋" w:eastAsia="仿宋" w:hAnsi="仿宋" w:cs="黑体" w:hint="eastAsia"/>
          <w:sz w:val="32"/>
          <w:szCs w:val="32"/>
          <w:lang w:val="en-US" w:eastAsia="zh-CN"/>
        </w:rPr>
        <w:t>一支</w:t>
      </w:r>
      <w:r>
        <w:rPr>
          <w:rFonts w:ascii="仿宋" w:eastAsia="仿宋" w:hAnsi="仿宋" w:cs="黑体" w:hint="eastAsia"/>
          <w:sz w:val="32"/>
          <w:szCs w:val="32"/>
        </w:rPr>
        <w:t>学有所长、术有专攻，理论研究和技术研发并重的业务科技支撑队伍。针对各项业务中关键、薄弱和重要领域技术问题，统筹各类技术、资源，深化气象雷达、卫星遥感、数值预报和气象信息等“四大支柱”运用研究，支持“能源气象服务”“天气雷达保障及观测资料应用”和“气象为农服务及卫星遥感应用”等科研团队建设。不断完善科研团队导师制度，为团队聘请知名专家、学者担任导师，通过业务交流、项目研究、课题指导等多种形式，加强核心关键或前沿引领性技术研发，加速提升团队的业务技术水平，打造具有较强实力的科研团队，提升我市气象业务科技人才队伍的创新能力和竞争力。鼓励各单位技术创新活动，促进科研成果业务转化和推广应用。以气象服务新理念推进服务新技术，提升服务科技含量，形成服务新形态，拓展服务新领域。</w:t>
      </w:r>
    </w:p>
    <w:p>
      <w:pPr>
        <w:spacing w:line="560" w:lineRule="exact"/>
        <w:ind w:firstLine="640" w:firstLineChars="200"/>
        <w:rPr>
          <w:rFonts w:ascii="黑体" w:eastAsia="黑体" w:hAnsi="黑体" w:cs="黑体"/>
          <w:sz w:val="32"/>
          <w:szCs w:val="32"/>
        </w:rPr>
      </w:pPr>
      <w:r>
        <w:rPr>
          <w:rFonts w:ascii="黑体" w:eastAsia="黑体" w:hAnsi="黑体" w:cs="黑体" w:hint="eastAsia"/>
          <w:sz w:val="32"/>
          <w:szCs w:val="32"/>
          <w:lang w:val="en-US" w:eastAsia="zh-CN"/>
        </w:rPr>
        <w:t>四</w:t>
      </w:r>
      <w:r>
        <w:rPr>
          <w:rFonts w:ascii="黑体" w:eastAsia="黑体" w:hAnsi="黑体" w:cs="黑体" w:hint="eastAsia"/>
          <w:sz w:val="32"/>
          <w:szCs w:val="32"/>
        </w:rPr>
        <w:t>、工作机制</w:t>
      </w:r>
    </w:p>
    <w:p>
      <w:pPr>
        <w:spacing w:line="560" w:lineRule="exact"/>
        <w:ind w:firstLine="640" w:firstLineChars="200"/>
        <w:rPr>
          <w:rFonts w:ascii="楷体" w:eastAsia="楷体" w:hAnsi="楷体" w:cs="楷体"/>
          <w:sz w:val="32"/>
          <w:szCs w:val="32"/>
        </w:rPr>
      </w:pPr>
      <w:r>
        <w:rPr>
          <w:rFonts w:ascii="楷体" w:eastAsia="楷体" w:hAnsi="楷体" w:cs="楷体" w:hint="eastAsia"/>
          <w:sz w:val="32"/>
          <w:szCs w:val="32"/>
        </w:rPr>
        <w:t>1.岗位管理机制</w:t>
      </w:r>
    </w:p>
    <w:p>
      <w:pPr>
        <w:spacing w:line="560" w:lineRule="exact"/>
        <w:ind w:firstLine="640" w:firstLineChars="200"/>
        <w:rPr>
          <w:rFonts w:ascii="仿宋" w:eastAsia="仿宋" w:hAnsi="仿宋" w:cs="黑体"/>
          <w:sz w:val="32"/>
          <w:szCs w:val="32"/>
        </w:rPr>
      </w:pPr>
      <w:r>
        <w:rPr>
          <w:rFonts w:ascii="仿宋" w:eastAsia="仿宋" w:hAnsi="仿宋" w:cs="黑体" w:hint="eastAsia"/>
          <w:sz w:val="32"/>
          <w:szCs w:val="32"/>
        </w:rPr>
        <w:t>完善事业单位岗位设置，按照科学合理、精简效能原则，优化配置人才资源，科学合理配置各类专业技术人才，科学设置各级各类岗位，明确岗位职责、工作任务、工作标准和任职条件，强化岗位考核，</w:t>
      </w:r>
      <w:r>
        <w:rPr>
          <w:rFonts w:ascii="仿宋" w:eastAsia="仿宋" w:hAnsi="仿宋" w:cs="黑体" w:hint="eastAsia"/>
          <w:sz w:val="32"/>
          <w:szCs w:val="32"/>
          <w:lang w:val="en-US" w:eastAsia="zh-CN"/>
        </w:rPr>
        <w:t>探索</w:t>
      </w:r>
      <w:r>
        <w:rPr>
          <w:rFonts w:ascii="仿宋" w:eastAsia="仿宋" w:hAnsi="仿宋" w:cs="黑体" w:hint="eastAsia"/>
          <w:sz w:val="32"/>
          <w:szCs w:val="32"/>
        </w:rPr>
        <w:t>建立岗位淘汰机制。按照《江苏省气象局职称评审管理办法》、《江苏省气象专业职称评审条件》</w:t>
      </w:r>
      <w:r>
        <w:rPr>
          <w:rFonts w:ascii="仿宋" w:eastAsia="仿宋" w:hAnsi="仿宋" w:cs="黑体" w:hint="eastAsia"/>
          <w:sz w:val="32"/>
          <w:szCs w:val="32"/>
          <w:lang w:val="en-US" w:eastAsia="zh-CN"/>
        </w:rPr>
        <w:t>规范</w:t>
      </w:r>
      <w:r>
        <w:rPr>
          <w:rFonts w:ascii="仿宋" w:eastAsia="仿宋" w:hAnsi="仿宋" w:cs="黑体" w:hint="eastAsia"/>
          <w:sz w:val="32"/>
          <w:szCs w:val="32"/>
        </w:rPr>
        <w:t>开展职称评审工作，做好政策宣讲和解读。根据现有情况</w:t>
      </w:r>
      <w:r>
        <w:rPr>
          <w:rFonts w:ascii="仿宋" w:eastAsia="仿宋" w:hAnsi="仿宋" w:cs="黑体" w:hint="eastAsia"/>
          <w:sz w:val="32"/>
          <w:szCs w:val="32"/>
          <w:lang w:val="en-US" w:eastAsia="zh-CN"/>
        </w:rPr>
        <w:t>对</w:t>
      </w:r>
      <w:r>
        <w:rPr>
          <w:rFonts w:ascii="仿宋" w:eastAsia="仿宋" w:hAnsi="仿宋" w:cs="黑体" w:hint="eastAsia"/>
          <w:sz w:val="32"/>
          <w:szCs w:val="32"/>
        </w:rPr>
        <w:t>事业单位岗位设置</w:t>
      </w:r>
      <w:r>
        <w:rPr>
          <w:rFonts w:ascii="仿宋" w:eastAsia="仿宋" w:hAnsi="仿宋" w:cs="黑体" w:hint="eastAsia"/>
          <w:sz w:val="32"/>
          <w:szCs w:val="32"/>
          <w:lang w:val="en-US" w:eastAsia="zh-CN"/>
        </w:rPr>
        <w:t>进行</w:t>
      </w:r>
      <w:r>
        <w:rPr>
          <w:rFonts w:ascii="仿宋" w:eastAsia="仿宋" w:hAnsi="仿宋" w:cs="黑体" w:hint="eastAsia"/>
          <w:sz w:val="32"/>
          <w:szCs w:val="32"/>
        </w:rPr>
        <w:t>动态调整，同等条件下向县（区）局一线业务人员倾斜。</w:t>
      </w:r>
    </w:p>
    <w:p>
      <w:pPr>
        <w:spacing w:line="560" w:lineRule="exact"/>
        <w:ind w:firstLine="640" w:firstLineChars="200"/>
        <w:rPr>
          <w:rFonts w:ascii="楷体" w:eastAsia="楷体" w:hAnsi="楷体" w:cs="楷体"/>
          <w:sz w:val="32"/>
          <w:szCs w:val="32"/>
        </w:rPr>
      </w:pPr>
      <w:r>
        <w:rPr>
          <w:rFonts w:ascii="楷体" w:eastAsia="楷体" w:hAnsi="楷体" w:cs="楷体" w:hint="eastAsia"/>
          <w:sz w:val="32"/>
          <w:szCs w:val="32"/>
        </w:rPr>
        <w:t>2.选人用人机制</w:t>
      </w:r>
    </w:p>
    <w:p>
      <w:pPr>
        <w:spacing w:line="560" w:lineRule="exact"/>
        <w:ind w:firstLine="640" w:firstLineChars="200"/>
        <w:rPr>
          <w:rFonts w:ascii="仿宋" w:eastAsia="仿宋" w:hAnsi="仿宋" w:cs="黑体"/>
          <w:sz w:val="32"/>
          <w:szCs w:val="32"/>
        </w:rPr>
      </w:pPr>
      <w:r>
        <w:rPr>
          <w:rFonts w:ascii="仿宋" w:eastAsia="仿宋" w:hAnsi="仿宋" w:cs="黑体" w:hint="eastAsia"/>
          <w:sz w:val="32"/>
          <w:szCs w:val="32"/>
        </w:rPr>
        <w:t>坚持党管人才原则，坚持干部上挂下派锻炼制度，积极鼓励开展援疆援藏锻炼，选拔优秀县区局人员到市局锻炼，有计划地安排年轻干部到基层培养锻炼；加大从一线选拔干部工作的力度。坚持公开、公正、透明的原则，使用各类专业技术人才，切实做到人岗相适、人尽其才、才尽其用。</w:t>
      </w:r>
    </w:p>
    <w:p>
      <w:pPr>
        <w:spacing w:line="560" w:lineRule="exact"/>
        <w:ind w:firstLine="640" w:firstLineChars="200"/>
        <w:rPr>
          <w:rFonts w:ascii="楷体" w:eastAsia="楷体" w:hAnsi="楷体" w:cs="楷体"/>
          <w:sz w:val="32"/>
          <w:szCs w:val="32"/>
        </w:rPr>
      </w:pPr>
      <w:r>
        <w:rPr>
          <w:rFonts w:ascii="楷体" w:eastAsia="楷体" w:hAnsi="楷体" w:cs="楷体" w:hint="eastAsia"/>
          <w:sz w:val="32"/>
          <w:szCs w:val="32"/>
        </w:rPr>
        <w:t>3.人才培养机制</w:t>
      </w:r>
    </w:p>
    <w:p>
      <w:pPr>
        <w:spacing w:line="560" w:lineRule="exact"/>
        <w:ind w:firstLine="640" w:firstLineChars="200"/>
        <w:rPr>
          <w:rFonts w:ascii="仿宋" w:eastAsia="仿宋" w:hAnsi="仿宋" w:cs="黑体"/>
          <w:sz w:val="32"/>
          <w:szCs w:val="32"/>
        </w:rPr>
      </w:pPr>
      <w:r>
        <w:rPr>
          <w:rFonts w:ascii="仿宋" w:eastAsia="仿宋" w:hAnsi="仿宋" w:cs="黑体" w:hint="eastAsia"/>
          <w:sz w:val="32"/>
          <w:szCs w:val="32"/>
        </w:rPr>
        <w:t>建立完善人才培养计划，积极推荐业务人员参加市、县政府部门及气象系统内各类人才工程选拔，参加各类创新团队。加强业务技能培训，推进培训工作规范化、制度化。市局组建的创新团队中至少有一名县（区）局专业技术人员，</w:t>
      </w:r>
      <w:r>
        <w:rPr>
          <w:rFonts w:ascii="仿宋" w:eastAsia="仿宋" w:hAnsi="仿宋" w:cs="黑体" w:hint="eastAsia"/>
          <w:sz w:val="32"/>
          <w:szCs w:val="32"/>
        </w:rPr>
        <w:t>鼓励</w:t>
      </w:r>
      <w:r>
        <w:rPr>
          <w:rFonts w:ascii="仿宋" w:eastAsia="仿宋" w:hAnsi="仿宋" w:cs="黑体" w:hint="eastAsia"/>
          <w:sz w:val="32"/>
          <w:szCs w:val="32"/>
        </w:rPr>
        <w:t>市局申报的厅局级科研项目和市局自立课题成员前五名中</w:t>
      </w:r>
      <w:r>
        <w:rPr>
          <w:rFonts w:ascii="仿宋" w:eastAsia="仿宋" w:hAnsi="仿宋" w:cs="黑体" w:hint="eastAsia"/>
          <w:sz w:val="32"/>
          <w:szCs w:val="32"/>
        </w:rPr>
        <w:t>有县（区）局业务人员</w:t>
      </w:r>
      <w:r>
        <w:rPr>
          <w:rFonts w:ascii="仿宋" w:eastAsia="仿宋" w:hAnsi="仿宋" w:cs="黑体" w:hint="eastAsia"/>
          <w:sz w:val="32"/>
          <w:szCs w:val="32"/>
        </w:rPr>
        <w:t>。加强局校合作，条件成熟时与南京大学、南京信息工程大学等高校的大气科学相关院系建立共建关系，依托高校专家学者的资源实现师资力量和信息共享，寻求外部力量协助宿迁开展人才培养。</w:t>
      </w:r>
    </w:p>
    <w:p>
      <w:pPr>
        <w:spacing w:line="560" w:lineRule="exact"/>
        <w:ind w:firstLine="640" w:firstLineChars="200"/>
        <w:rPr>
          <w:rFonts w:ascii="楷体" w:eastAsia="楷体" w:hAnsi="楷体" w:cs="楷体"/>
          <w:sz w:val="32"/>
          <w:szCs w:val="32"/>
        </w:rPr>
      </w:pPr>
      <w:r>
        <w:rPr>
          <w:rFonts w:ascii="楷体" w:eastAsia="楷体" w:hAnsi="楷体" w:cs="楷体" w:hint="eastAsia"/>
          <w:sz w:val="32"/>
          <w:szCs w:val="32"/>
        </w:rPr>
        <w:t>4.人才评价机制</w:t>
      </w:r>
    </w:p>
    <w:p>
      <w:pPr>
        <w:spacing w:line="560" w:lineRule="exact"/>
        <w:ind w:firstLine="640" w:firstLineChars="200"/>
        <w:rPr>
          <w:rFonts w:ascii="仿宋" w:eastAsia="仿宋" w:hAnsi="仿宋" w:cs="黑体"/>
          <w:sz w:val="32"/>
          <w:szCs w:val="32"/>
        </w:rPr>
      </w:pPr>
      <w:r>
        <w:rPr>
          <w:rFonts w:ascii="仿宋_GB2312" w:eastAsia="仿宋_GB2312" w:hAnsi="仿宋_GB2312" w:cs="仿宋_GB2312" w:hint="eastAsia"/>
          <w:sz w:val="32"/>
          <w:szCs w:val="32"/>
        </w:rPr>
        <w:t>建立和完善以业绩为核心，由品德、知识、能力和贡献等要素构成的科技创新人才评价指标体系，从注重论文数量和奖励数量评价为主，向解决气象业务科研中的关键技术问题、在气象业务服务岗位的实际贡献、创新能力的提升等评价标准转变。建立科学的科技创新成果考评制度，建立和完善体现科学发展观要求的考核评价指标体系，根据不同职称层次、不同岗位特点，确立各有侧重、各具特色的考核内容和考核指标。稳妥有序开展市、县之间和参公、事业之间交流、轮岗。</w:t>
      </w:r>
    </w:p>
    <w:p>
      <w:pPr>
        <w:spacing w:line="560" w:lineRule="exact"/>
        <w:ind w:firstLine="640" w:firstLineChars="200"/>
        <w:rPr>
          <w:rFonts w:ascii="楷体" w:eastAsia="楷体" w:hAnsi="楷体" w:cs="楷体"/>
          <w:sz w:val="32"/>
          <w:szCs w:val="32"/>
        </w:rPr>
      </w:pPr>
      <w:r>
        <w:rPr>
          <w:rFonts w:ascii="楷体" w:eastAsia="楷体" w:hAnsi="楷体" w:cs="楷体" w:hint="eastAsia"/>
          <w:sz w:val="32"/>
          <w:szCs w:val="32"/>
        </w:rPr>
        <w:t>5.人才投入机制</w:t>
      </w:r>
    </w:p>
    <w:p>
      <w:pPr>
        <w:spacing w:line="560" w:lineRule="exact"/>
        <w:ind w:firstLine="640" w:firstLineChars="200"/>
        <w:rPr>
          <w:rFonts w:ascii="仿宋_GB2312" w:eastAsia="仿宋_GB2312" w:hAnsi="仿宋_GB2312" w:cs="仿宋_GB2312"/>
          <w:sz w:val="32"/>
          <w:szCs w:val="32"/>
        </w:rPr>
      </w:pPr>
      <w:r>
        <w:rPr>
          <w:rFonts w:ascii="仿宋_GB2312" w:eastAsia="仿宋_GB2312" w:hAnsi="仿宋_GB2312" w:cs="仿宋_GB2312" w:hint="eastAsia"/>
          <w:sz w:val="32"/>
          <w:szCs w:val="32"/>
        </w:rPr>
        <w:t>主动加强与省气象局、市委组织部、人社局、财政局等部门的联系，争取上级主管部门和地方政府对气象人才教育培训、选拔使用、管理考核、经费保障等方面的支持。</w:t>
      </w:r>
    </w:p>
    <w:p>
      <w:pPr>
        <w:spacing w:line="560" w:lineRule="exact"/>
        <w:ind w:firstLine="640" w:firstLineChars="200"/>
        <w:rPr>
          <w:rFonts w:ascii="黑体" w:eastAsia="黑体" w:hAnsi="黑体" w:cs="黑体"/>
          <w:sz w:val="32"/>
          <w:szCs w:val="32"/>
        </w:rPr>
      </w:pPr>
      <w:r>
        <w:rPr>
          <w:rFonts w:ascii="黑体" w:eastAsia="黑体" w:hAnsi="黑体" w:cs="黑体" w:hint="eastAsia"/>
          <w:sz w:val="32"/>
          <w:szCs w:val="32"/>
          <w:lang w:val="en-US" w:eastAsia="zh-CN"/>
        </w:rPr>
        <w:t>五</w:t>
      </w:r>
      <w:r>
        <w:rPr>
          <w:rFonts w:ascii="黑体" w:eastAsia="黑体" w:hAnsi="黑体" w:cs="黑体" w:hint="eastAsia"/>
          <w:sz w:val="32"/>
          <w:szCs w:val="32"/>
        </w:rPr>
        <w:t>、组织保障</w:t>
      </w:r>
    </w:p>
    <w:p>
      <w:pPr>
        <w:spacing w:line="560" w:lineRule="exact"/>
        <w:ind w:firstLine="640" w:firstLineChars="200"/>
        <w:rPr>
          <w:rFonts w:ascii="仿宋_GB2312" w:eastAsia="仿宋_GB2312" w:hAnsi="仿宋_GB2312" w:cs="仿宋_GB2312"/>
          <w:sz w:val="32"/>
          <w:szCs w:val="32"/>
        </w:rPr>
      </w:pPr>
      <w:r>
        <w:rPr>
          <w:rFonts w:ascii="楷体" w:eastAsia="楷体" w:hAnsi="楷体" w:cs="楷体" w:hint="eastAsia"/>
          <w:sz w:val="32"/>
          <w:szCs w:val="32"/>
        </w:rPr>
        <w:t>1.加强组织领导。</w:t>
      </w:r>
      <w:r>
        <w:rPr>
          <w:rFonts w:ascii="仿宋_GB2312" w:eastAsia="仿宋_GB2312" w:hAnsi="仿宋_GB2312" w:cs="仿宋_GB2312" w:hint="eastAsia"/>
          <w:sz w:val="32"/>
          <w:szCs w:val="32"/>
        </w:rPr>
        <w:t>坚持党管人才原则，市局成立人才工作领导小组，加强对人才工作的指导。市局主要负责人任组长，其他领导成员任副组长，各职能处室主要负责人任成员。不定期召开领导小组会议，研究相关人才政策，做好全市气象部门人才工作。领导小组办公室设在市局人事处。</w:t>
      </w:r>
    </w:p>
    <w:p>
      <w:pPr>
        <w:spacing w:line="560" w:lineRule="exact"/>
        <w:ind w:firstLine="640" w:firstLineChars="200"/>
        <w:rPr>
          <w:rFonts w:ascii="仿宋_GB2312" w:eastAsia="仿宋_GB2312" w:hAnsi="仿宋_GB2312" w:cs="仿宋_GB2312"/>
          <w:sz w:val="32"/>
          <w:szCs w:val="32"/>
        </w:rPr>
      </w:pPr>
      <w:r>
        <w:rPr>
          <w:rFonts w:ascii="楷体" w:eastAsia="楷体" w:hAnsi="楷体" w:cs="楷体" w:hint="eastAsia"/>
          <w:sz w:val="32"/>
          <w:szCs w:val="32"/>
        </w:rPr>
        <w:t>2.上下联动推进。</w:t>
      </w:r>
      <w:r>
        <w:rPr>
          <w:rFonts w:ascii="仿宋_GB2312" w:eastAsia="仿宋_GB2312" w:hAnsi="仿宋_GB2312" w:cs="仿宋_GB2312" w:hint="eastAsia"/>
          <w:sz w:val="32"/>
          <w:szCs w:val="32"/>
        </w:rPr>
        <w:t>将人才工作作为“一把手”工程，一把手要亲自抓。细化人才优先发展计划中的任务和措施，明确责任主体、推进进度和考核指标。分阶段对人才发展规划实施情况进行跟踪、评价和反馈，并根据实施情况进行调整，做到思想落实、任务落实、政策落实、项目落实。各县（区）局主要负责人要亲自抓人才建设，关心青年人才成长，做好人才挖掘、培养。</w:t>
      </w:r>
    </w:p>
    <w:p>
      <w:pPr>
        <w:spacing w:line="560" w:lineRule="exact"/>
        <w:ind w:firstLine="640" w:firstLineChars="200"/>
        <w:rPr>
          <w:rFonts w:ascii="仿宋_GB2312" w:eastAsia="仿宋_GB2312" w:hAnsi="仿宋_GB2312" w:cs="仿宋_GB2312"/>
          <w:sz w:val="32"/>
          <w:szCs w:val="32"/>
        </w:rPr>
      </w:pPr>
      <w:r>
        <w:rPr>
          <w:rFonts w:ascii="楷体" w:eastAsia="楷体" w:hAnsi="楷体" w:cs="楷体" w:hint="eastAsia"/>
          <w:sz w:val="32"/>
          <w:szCs w:val="32"/>
        </w:rPr>
        <w:t>3、优化工作生活环境。</w:t>
      </w:r>
      <w:r>
        <w:rPr>
          <w:rFonts w:ascii="仿宋_GB2312" w:eastAsia="仿宋_GB2312" w:hAnsi="仿宋_GB2312" w:cs="仿宋_GB2312" w:hint="eastAsia"/>
          <w:sz w:val="32"/>
          <w:szCs w:val="32"/>
        </w:rPr>
        <w:t>牢固树立人人皆可成才的观念，不断完善气象人才培养机制，让各类人才都拥有广阔的发展空间，不断优化生活环境，让各类人才安心事业、勇于创新，使每个人都成为对气象事业发展的有用之才，形成人尽其才、才尽其用的良好局面。</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w h">
    <w15:presenceInfo w15:providerId="Windows Live" w15:userId="a19f3da187d282bd"/>
  </w15:person>
  <w15:person w15:author="丘文先">
    <w15:presenceInfo w15:providerId="None" w15:userId="丘文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comments="1" w:formatting="1" w:inkAnnotations="1" w:insDel="1" w:markup="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63"/>
    <w:rsid w:val="00044DB8"/>
    <w:rsid w:val="000A29D2"/>
    <w:rsid w:val="000E537D"/>
    <w:rsid w:val="000F442A"/>
    <w:rsid w:val="00124CEE"/>
    <w:rsid w:val="00131D10"/>
    <w:rsid w:val="00150A25"/>
    <w:rsid w:val="00156090"/>
    <w:rsid w:val="001659E0"/>
    <w:rsid w:val="001A6949"/>
    <w:rsid w:val="00200684"/>
    <w:rsid w:val="002208B9"/>
    <w:rsid w:val="0022718F"/>
    <w:rsid w:val="002322A9"/>
    <w:rsid w:val="0024591C"/>
    <w:rsid w:val="00262F82"/>
    <w:rsid w:val="002D5360"/>
    <w:rsid w:val="00301F04"/>
    <w:rsid w:val="003066B6"/>
    <w:rsid w:val="00312293"/>
    <w:rsid w:val="003167D3"/>
    <w:rsid w:val="003261E8"/>
    <w:rsid w:val="003631BC"/>
    <w:rsid w:val="00372EC6"/>
    <w:rsid w:val="003948D2"/>
    <w:rsid w:val="003C3941"/>
    <w:rsid w:val="003C5893"/>
    <w:rsid w:val="00415403"/>
    <w:rsid w:val="004572AD"/>
    <w:rsid w:val="00473031"/>
    <w:rsid w:val="0047741D"/>
    <w:rsid w:val="004C3E54"/>
    <w:rsid w:val="004C7643"/>
    <w:rsid w:val="004D0AFB"/>
    <w:rsid w:val="00525086"/>
    <w:rsid w:val="00564E69"/>
    <w:rsid w:val="005A2D64"/>
    <w:rsid w:val="005C26B4"/>
    <w:rsid w:val="005C450E"/>
    <w:rsid w:val="005D3467"/>
    <w:rsid w:val="005E54AC"/>
    <w:rsid w:val="006010E9"/>
    <w:rsid w:val="0061733B"/>
    <w:rsid w:val="00620B0D"/>
    <w:rsid w:val="00667FFA"/>
    <w:rsid w:val="006B0859"/>
    <w:rsid w:val="006B2D8F"/>
    <w:rsid w:val="006B4709"/>
    <w:rsid w:val="006D6F4E"/>
    <w:rsid w:val="006E1937"/>
    <w:rsid w:val="00701CD8"/>
    <w:rsid w:val="00715251"/>
    <w:rsid w:val="007200AE"/>
    <w:rsid w:val="00754981"/>
    <w:rsid w:val="00770063"/>
    <w:rsid w:val="00772C11"/>
    <w:rsid w:val="0078241B"/>
    <w:rsid w:val="007C48F1"/>
    <w:rsid w:val="007D3EC5"/>
    <w:rsid w:val="00812D1E"/>
    <w:rsid w:val="00830584"/>
    <w:rsid w:val="008521F8"/>
    <w:rsid w:val="008F0C3A"/>
    <w:rsid w:val="009046B8"/>
    <w:rsid w:val="009308B2"/>
    <w:rsid w:val="009345B9"/>
    <w:rsid w:val="009471B6"/>
    <w:rsid w:val="0098009A"/>
    <w:rsid w:val="00982F15"/>
    <w:rsid w:val="009A46BF"/>
    <w:rsid w:val="009A48C9"/>
    <w:rsid w:val="009D71C6"/>
    <w:rsid w:val="00A3732B"/>
    <w:rsid w:val="00A649F2"/>
    <w:rsid w:val="00A67CF0"/>
    <w:rsid w:val="00A97527"/>
    <w:rsid w:val="00AB1A06"/>
    <w:rsid w:val="00AC6E1C"/>
    <w:rsid w:val="00B5655A"/>
    <w:rsid w:val="00B84479"/>
    <w:rsid w:val="00BC4BE2"/>
    <w:rsid w:val="00BC5F36"/>
    <w:rsid w:val="00BD0A93"/>
    <w:rsid w:val="00BE75EE"/>
    <w:rsid w:val="00C05F57"/>
    <w:rsid w:val="00C068FA"/>
    <w:rsid w:val="00C45B55"/>
    <w:rsid w:val="00C53DEB"/>
    <w:rsid w:val="00C62249"/>
    <w:rsid w:val="00D034F3"/>
    <w:rsid w:val="00D05DFE"/>
    <w:rsid w:val="00D742FE"/>
    <w:rsid w:val="00D96E21"/>
    <w:rsid w:val="00DD5991"/>
    <w:rsid w:val="00DD6A17"/>
    <w:rsid w:val="00DE2D22"/>
    <w:rsid w:val="00DE740D"/>
    <w:rsid w:val="00DF42F1"/>
    <w:rsid w:val="00E34D32"/>
    <w:rsid w:val="00EA01E7"/>
    <w:rsid w:val="00EA0F09"/>
    <w:rsid w:val="00ED2C7F"/>
    <w:rsid w:val="00EF02F8"/>
    <w:rsid w:val="00EF113E"/>
    <w:rsid w:val="00F10776"/>
    <w:rsid w:val="00F12CD1"/>
    <w:rsid w:val="00F14007"/>
    <w:rsid w:val="00F168BC"/>
    <w:rsid w:val="00F36984"/>
    <w:rsid w:val="00F51D6B"/>
    <w:rsid w:val="00FA0975"/>
    <w:rsid w:val="00FC269B"/>
    <w:rsid w:val="00FF47C0"/>
    <w:rsid w:val="01080A12"/>
    <w:rsid w:val="012F5F9F"/>
    <w:rsid w:val="014F6641"/>
    <w:rsid w:val="01846205"/>
    <w:rsid w:val="01B12E58"/>
    <w:rsid w:val="01C34939"/>
    <w:rsid w:val="01DE4D61"/>
    <w:rsid w:val="02145608"/>
    <w:rsid w:val="033E071B"/>
    <w:rsid w:val="04877EA0"/>
    <w:rsid w:val="04E2157A"/>
    <w:rsid w:val="04F80D9E"/>
    <w:rsid w:val="053A13B6"/>
    <w:rsid w:val="057E12A3"/>
    <w:rsid w:val="05A827C4"/>
    <w:rsid w:val="064029FC"/>
    <w:rsid w:val="065344DE"/>
    <w:rsid w:val="0663328B"/>
    <w:rsid w:val="07BE007D"/>
    <w:rsid w:val="07DD49A7"/>
    <w:rsid w:val="07ED0962"/>
    <w:rsid w:val="08493DEA"/>
    <w:rsid w:val="0854278F"/>
    <w:rsid w:val="088E3EF3"/>
    <w:rsid w:val="08DD12D9"/>
    <w:rsid w:val="0910058F"/>
    <w:rsid w:val="091E5277"/>
    <w:rsid w:val="097D1872"/>
    <w:rsid w:val="0A014251"/>
    <w:rsid w:val="0B316DB7"/>
    <w:rsid w:val="0B5A00BC"/>
    <w:rsid w:val="0B776EC0"/>
    <w:rsid w:val="0B8E5FB8"/>
    <w:rsid w:val="0BB43C70"/>
    <w:rsid w:val="0D054058"/>
    <w:rsid w:val="0D4E3C51"/>
    <w:rsid w:val="0DB52D2F"/>
    <w:rsid w:val="0DCF4D92"/>
    <w:rsid w:val="0E680D42"/>
    <w:rsid w:val="0EAC0AC2"/>
    <w:rsid w:val="0F501F02"/>
    <w:rsid w:val="0F707EAE"/>
    <w:rsid w:val="100B7BD7"/>
    <w:rsid w:val="1030200B"/>
    <w:rsid w:val="10353FD2"/>
    <w:rsid w:val="109202F8"/>
    <w:rsid w:val="10D75D0B"/>
    <w:rsid w:val="10FC434A"/>
    <w:rsid w:val="11317B11"/>
    <w:rsid w:val="11670B0A"/>
    <w:rsid w:val="119836EC"/>
    <w:rsid w:val="11AF0A31"/>
    <w:rsid w:val="11EE77B0"/>
    <w:rsid w:val="12BE0E61"/>
    <w:rsid w:val="12E82452"/>
    <w:rsid w:val="13222DD7"/>
    <w:rsid w:val="13474541"/>
    <w:rsid w:val="134F427F"/>
    <w:rsid w:val="13CB0E42"/>
    <w:rsid w:val="13D749A0"/>
    <w:rsid w:val="13E62E35"/>
    <w:rsid w:val="14411E19"/>
    <w:rsid w:val="145A6BFB"/>
    <w:rsid w:val="14C36CD2"/>
    <w:rsid w:val="15EF58A5"/>
    <w:rsid w:val="162E461F"/>
    <w:rsid w:val="1647748F"/>
    <w:rsid w:val="168D57EA"/>
    <w:rsid w:val="16BE59A3"/>
    <w:rsid w:val="17A74689"/>
    <w:rsid w:val="17B15508"/>
    <w:rsid w:val="17CC40F0"/>
    <w:rsid w:val="17D006B3"/>
    <w:rsid w:val="180513B0"/>
    <w:rsid w:val="187F5606"/>
    <w:rsid w:val="18A1732B"/>
    <w:rsid w:val="18BF7C29"/>
    <w:rsid w:val="18E67433"/>
    <w:rsid w:val="190F698A"/>
    <w:rsid w:val="19E96131"/>
    <w:rsid w:val="1A383CBF"/>
    <w:rsid w:val="1A393593"/>
    <w:rsid w:val="1A4C776A"/>
    <w:rsid w:val="1A626F8D"/>
    <w:rsid w:val="1A8C55EC"/>
    <w:rsid w:val="1AB569DB"/>
    <w:rsid w:val="1AD339E7"/>
    <w:rsid w:val="1B281F85"/>
    <w:rsid w:val="1B39609F"/>
    <w:rsid w:val="1B60171F"/>
    <w:rsid w:val="1B6A60FA"/>
    <w:rsid w:val="1BE22336"/>
    <w:rsid w:val="1C9553F8"/>
    <w:rsid w:val="1CE123EB"/>
    <w:rsid w:val="1D644DCB"/>
    <w:rsid w:val="1DCA10D2"/>
    <w:rsid w:val="1E122CC6"/>
    <w:rsid w:val="1F2B5BA0"/>
    <w:rsid w:val="1F38650F"/>
    <w:rsid w:val="1FCF29CF"/>
    <w:rsid w:val="1FE50445"/>
    <w:rsid w:val="20016901"/>
    <w:rsid w:val="201C7BDE"/>
    <w:rsid w:val="20B6593D"/>
    <w:rsid w:val="20FD09D9"/>
    <w:rsid w:val="218C183F"/>
    <w:rsid w:val="22673393"/>
    <w:rsid w:val="22E63803"/>
    <w:rsid w:val="23720241"/>
    <w:rsid w:val="23722241"/>
    <w:rsid w:val="24294678"/>
    <w:rsid w:val="2480698E"/>
    <w:rsid w:val="249935AC"/>
    <w:rsid w:val="249C309C"/>
    <w:rsid w:val="24B65F0C"/>
    <w:rsid w:val="24C70119"/>
    <w:rsid w:val="251A293E"/>
    <w:rsid w:val="25DF5936"/>
    <w:rsid w:val="25E35426"/>
    <w:rsid w:val="25FA2770"/>
    <w:rsid w:val="264E03C6"/>
    <w:rsid w:val="26AF355A"/>
    <w:rsid w:val="26E86A6C"/>
    <w:rsid w:val="26EF7DFB"/>
    <w:rsid w:val="271433BD"/>
    <w:rsid w:val="27231852"/>
    <w:rsid w:val="276F4A98"/>
    <w:rsid w:val="27F60D15"/>
    <w:rsid w:val="28101DD7"/>
    <w:rsid w:val="287A13B2"/>
    <w:rsid w:val="29057462"/>
    <w:rsid w:val="29606D8E"/>
    <w:rsid w:val="29890093"/>
    <w:rsid w:val="29A72BFB"/>
    <w:rsid w:val="29B34659"/>
    <w:rsid w:val="29C037A2"/>
    <w:rsid w:val="2A0911D4"/>
    <w:rsid w:val="2A612DBE"/>
    <w:rsid w:val="2AB949A8"/>
    <w:rsid w:val="2B5E554F"/>
    <w:rsid w:val="2B7E174D"/>
    <w:rsid w:val="2C385DA0"/>
    <w:rsid w:val="2C3A1B18"/>
    <w:rsid w:val="2C9F5E1F"/>
    <w:rsid w:val="2CE54D5A"/>
    <w:rsid w:val="2CFA3055"/>
    <w:rsid w:val="2D1F486A"/>
    <w:rsid w:val="2E7B1F74"/>
    <w:rsid w:val="2F0B32F8"/>
    <w:rsid w:val="2F2820FC"/>
    <w:rsid w:val="2F520F27"/>
    <w:rsid w:val="2FAD0853"/>
    <w:rsid w:val="2FB120F1"/>
    <w:rsid w:val="31003190"/>
    <w:rsid w:val="31551F9A"/>
    <w:rsid w:val="31E247E4"/>
    <w:rsid w:val="33563502"/>
    <w:rsid w:val="336A2681"/>
    <w:rsid w:val="337E678E"/>
    <w:rsid w:val="342D5ABF"/>
    <w:rsid w:val="357E0BE0"/>
    <w:rsid w:val="35C83CF1"/>
    <w:rsid w:val="36064819"/>
    <w:rsid w:val="362F3D70"/>
    <w:rsid w:val="365B2DB7"/>
    <w:rsid w:val="369462C9"/>
    <w:rsid w:val="36F17277"/>
    <w:rsid w:val="371D0810"/>
    <w:rsid w:val="37DD15AA"/>
    <w:rsid w:val="38871C41"/>
    <w:rsid w:val="38AC16A8"/>
    <w:rsid w:val="38FD1F03"/>
    <w:rsid w:val="396F0F8E"/>
    <w:rsid w:val="39704D59"/>
    <w:rsid w:val="39D709A6"/>
    <w:rsid w:val="39DF785B"/>
    <w:rsid w:val="3A0B0650"/>
    <w:rsid w:val="3A1A278D"/>
    <w:rsid w:val="3AD43138"/>
    <w:rsid w:val="3AEA295B"/>
    <w:rsid w:val="3BAA159A"/>
    <w:rsid w:val="3BC60CD2"/>
    <w:rsid w:val="3C8D2194"/>
    <w:rsid w:val="3CC01BC6"/>
    <w:rsid w:val="3D233F03"/>
    <w:rsid w:val="3DA768E2"/>
    <w:rsid w:val="3DDF2AF1"/>
    <w:rsid w:val="3DFE0BF8"/>
    <w:rsid w:val="3E74769B"/>
    <w:rsid w:val="3F6F78D3"/>
    <w:rsid w:val="3FA532F5"/>
    <w:rsid w:val="3FDC5A97"/>
    <w:rsid w:val="4044666A"/>
    <w:rsid w:val="415B010F"/>
    <w:rsid w:val="41911D83"/>
    <w:rsid w:val="41CC4B69"/>
    <w:rsid w:val="42C35F6C"/>
    <w:rsid w:val="42F205FF"/>
    <w:rsid w:val="436C7F4E"/>
    <w:rsid w:val="43C24475"/>
    <w:rsid w:val="44C47D79"/>
    <w:rsid w:val="45372C41"/>
    <w:rsid w:val="45415EB8"/>
    <w:rsid w:val="45576692"/>
    <w:rsid w:val="45827BB1"/>
    <w:rsid w:val="46184820"/>
    <w:rsid w:val="46EE10DD"/>
    <w:rsid w:val="475F022D"/>
    <w:rsid w:val="47694C08"/>
    <w:rsid w:val="47C702AC"/>
    <w:rsid w:val="47CA1B4A"/>
    <w:rsid w:val="48276F9D"/>
    <w:rsid w:val="484C6A03"/>
    <w:rsid w:val="48643D4D"/>
    <w:rsid w:val="488C5052"/>
    <w:rsid w:val="48EE3617"/>
    <w:rsid w:val="494B6CBB"/>
    <w:rsid w:val="4968161B"/>
    <w:rsid w:val="4A45195C"/>
    <w:rsid w:val="4A6022F2"/>
    <w:rsid w:val="4A8A736F"/>
    <w:rsid w:val="4ABB2EEE"/>
    <w:rsid w:val="4B6E7FDD"/>
    <w:rsid w:val="4BAD5A0B"/>
    <w:rsid w:val="4BF16188"/>
    <w:rsid w:val="4C4023DB"/>
    <w:rsid w:val="4D7762D0"/>
    <w:rsid w:val="4D87403A"/>
    <w:rsid w:val="4DC66910"/>
    <w:rsid w:val="4E1C6E78"/>
    <w:rsid w:val="4EBD5F65"/>
    <w:rsid w:val="4F29184C"/>
    <w:rsid w:val="4F4E1640"/>
    <w:rsid w:val="4F93316A"/>
    <w:rsid w:val="509E1DC6"/>
    <w:rsid w:val="50F43794"/>
    <w:rsid w:val="519F1952"/>
    <w:rsid w:val="51A451BA"/>
    <w:rsid w:val="525E7A5F"/>
    <w:rsid w:val="531D5224"/>
    <w:rsid w:val="53373E0C"/>
    <w:rsid w:val="5385101B"/>
    <w:rsid w:val="53CE4770"/>
    <w:rsid w:val="540C3BAA"/>
    <w:rsid w:val="552D3719"/>
    <w:rsid w:val="553F4595"/>
    <w:rsid w:val="55D1679A"/>
    <w:rsid w:val="55F66200"/>
    <w:rsid w:val="567F61F6"/>
    <w:rsid w:val="56EA7B13"/>
    <w:rsid w:val="573B4E1C"/>
    <w:rsid w:val="57541431"/>
    <w:rsid w:val="575907F5"/>
    <w:rsid w:val="57770C7B"/>
    <w:rsid w:val="57914433"/>
    <w:rsid w:val="57BB14B0"/>
    <w:rsid w:val="58E16CF4"/>
    <w:rsid w:val="5903310E"/>
    <w:rsid w:val="591F172A"/>
    <w:rsid w:val="59941FB8"/>
    <w:rsid w:val="59E7658C"/>
    <w:rsid w:val="5A0C1B4F"/>
    <w:rsid w:val="5A1530F9"/>
    <w:rsid w:val="5A1F57D6"/>
    <w:rsid w:val="5A5359CF"/>
    <w:rsid w:val="5ABA77FD"/>
    <w:rsid w:val="5AF251E8"/>
    <w:rsid w:val="5B0A6CFA"/>
    <w:rsid w:val="5B163AB7"/>
    <w:rsid w:val="5B2F01EA"/>
    <w:rsid w:val="5B5E1B66"/>
    <w:rsid w:val="5B871DD5"/>
    <w:rsid w:val="5C0A47B4"/>
    <w:rsid w:val="5C5D48E3"/>
    <w:rsid w:val="5D0336DD"/>
    <w:rsid w:val="5D07484F"/>
    <w:rsid w:val="5D131446"/>
    <w:rsid w:val="5E381A8A"/>
    <w:rsid w:val="5E7A5C21"/>
    <w:rsid w:val="5FC67FEF"/>
    <w:rsid w:val="5FCB06F1"/>
    <w:rsid w:val="5FDA449D"/>
    <w:rsid w:val="60A96349"/>
    <w:rsid w:val="61016185"/>
    <w:rsid w:val="618B5A4F"/>
    <w:rsid w:val="61A46B11"/>
    <w:rsid w:val="61FF5E2E"/>
    <w:rsid w:val="623B56C7"/>
    <w:rsid w:val="626D784A"/>
    <w:rsid w:val="631C1312"/>
    <w:rsid w:val="632919C3"/>
    <w:rsid w:val="633F0A6B"/>
    <w:rsid w:val="63811C29"/>
    <w:rsid w:val="63B53257"/>
    <w:rsid w:val="641E2BAA"/>
    <w:rsid w:val="6598698C"/>
    <w:rsid w:val="65D4489C"/>
    <w:rsid w:val="66F25230"/>
    <w:rsid w:val="674325E7"/>
    <w:rsid w:val="67512F25"/>
    <w:rsid w:val="67F72090"/>
    <w:rsid w:val="68BA4E6C"/>
    <w:rsid w:val="68F17283"/>
    <w:rsid w:val="690B7B02"/>
    <w:rsid w:val="693E3CEF"/>
    <w:rsid w:val="697119CE"/>
    <w:rsid w:val="6A372C18"/>
    <w:rsid w:val="6A3B6DF6"/>
    <w:rsid w:val="6AAA163C"/>
    <w:rsid w:val="6AFB1E97"/>
    <w:rsid w:val="6BA047ED"/>
    <w:rsid w:val="6C6475C8"/>
    <w:rsid w:val="6CE1330F"/>
    <w:rsid w:val="6D7C710D"/>
    <w:rsid w:val="6DF1132F"/>
    <w:rsid w:val="6E60505E"/>
    <w:rsid w:val="6E921AF9"/>
    <w:rsid w:val="6F6D2C38"/>
    <w:rsid w:val="701D3E0D"/>
    <w:rsid w:val="703A6FBE"/>
    <w:rsid w:val="706C22BF"/>
    <w:rsid w:val="70A04331"/>
    <w:rsid w:val="70BA3C5B"/>
    <w:rsid w:val="70BB15FC"/>
    <w:rsid w:val="70BD03E1"/>
    <w:rsid w:val="70DC62C7"/>
    <w:rsid w:val="71324139"/>
    <w:rsid w:val="718304F0"/>
    <w:rsid w:val="71A1306D"/>
    <w:rsid w:val="71AD37BF"/>
    <w:rsid w:val="71DE7E1D"/>
    <w:rsid w:val="72031631"/>
    <w:rsid w:val="727D13E4"/>
    <w:rsid w:val="72C45265"/>
    <w:rsid w:val="72C76B03"/>
    <w:rsid w:val="72CE1C3F"/>
    <w:rsid w:val="72E71B23"/>
    <w:rsid w:val="737B346E"/>
    <w:rsid w:val="74277859"/>
    <w:rsid w:val="74463A57"/>
    <w:rsid w:val="7447614D"/>
    <w:rsid w:val="74DA0D6F"/>
    <w:rsid w:val="75396AE8"/>
    <w:rsid w:val="76685F07"/>
    <w:rsid w:val="76C770D1"/>
    <w:rsid w:val="78393A51"/>
    <w:rsid w:val="783D01A1"/>
    <w:rsid w:val="78713799"/>
    <w:rsid w:val="797846B3"/>
    <w:rsid w:val="79815C5D"/>
    <w:rsid w:val="79B576B5"/>
    <w:rsid w:val="7B102D5B"/>
    <w:rsid w:val="7C0079C4"/>
    <w:rsid w:val="7C1A601F"/>
    <w:rsid w:val="7C6B6751"/>
    <w:rsid w:val="7D837904"/>
    <w:rsid w:val="7D932551"/>
    <w:rsid w:val="7E2E1411"/>
    <w:rsid w:val="7E3A3131"/>
    <w:rsid w:val="7E413AB9"/>
    <w:rsid w:val="7EA80F9E"/>
    <w:rsid w:val="7EF50BCB"/>
    <w:rsid w:val="7F1D01D6"/>
    <w:rsid w:val="7F370B6C"/>
    <w:rsid w:val="7F8F2756"/>
  </w:rsids>
  <w:docVars>
    <w:docVar w:name="commondata" w:val="eyJoZGlkIjoiZjg0YmI5ZDEzMWRhOWJjNWMzYjc3NWQxMmM5NTA3YTc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Footer">
    <w:name w:val="footer"/>
    <w:basedOn w:val="Normal"/>
    <w:link w:val="a0"/>
    <w:uiPriority w:val="99"/>
    <w:unhideWhenUsed/>
    <w:qFormat/>
    <w:pPr>
      <w:tabs>
        <w:tab w:val="center" w:pos="4153"/>
        <w:tab w:val="right" w:pos="8306"/>
      </w:tabs>
      <w:snapToGrid w:val="0"/>
      <w:jc w:val="left"/>
    </w:pPr>
    <w:rPr>
      <w:sz w:val="18"/>
      <w:szCs w:val="18"/>
    </w:rPr>
  </w:style>
  <w:style w:type="paragraph" w:styleId="Header">
    <w:name w:val="header"/>
    <w:basedOn w:val="Normal"/>
    <w:link w:val="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qFormat/>
    <w:rPr>
      <w:sz w:val="18"/>
      <w:szCs w:val="18"/>
    </w:rPr>
  </w:style>
  <w:style w:type="character" w:customStyle="1" w:styleId="a0">
    <w:name w:val="页脚 字符"/>
    <w:basedOn w:val="DefaultParagraphFont"/>
    <w:link w:val="Footer"/>
    <w:uiPriority w:val="99"/>
    <w:qFormat/>
    <w:rPr>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 Id="rId6"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1</TotalTime>
  <Pages>10</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连云港市局文秘</dc:creator>
  <cp:lastModifiedBy>丘文先</cp:lastModifiedBy>
  <cp:revision>83</cp:revision>
  <dcterms:created xsi:type="dcterms:W3CDTF">2021-11-22T01:52:00Z</dcterms:created>
  <dcterms:modified xsi:type="dcterms:W3CDTF">2023-09-22T09:14:28Z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BF7B5C1B82E34B28A75CF173A2AE350D_12</vt:lpwstr>
  </property>
  <property fmtid="{D5CDD505-2E9C-101B-9397-08002B2CF9AE}" pid="3" name="KSOProductBuildVer">
    <vt:lpwstr>2052-12.1.0.15374</vt:lpwstr>
  </property>
</Properties>
</file>